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Overlap w:val="never"/>
        <w:tblW w:w="10206" w:type="dxa"/>
        <w:tblLayout w:type="fixed"/>
        <w:tblCellMar>
          <w:top w:w="28" w:type="dxa"/>
          <w:left w:w="57" w:type="dxa"/>
          <w:bottom w:w="28" w:type="dxa"/>
          <w:right w:w="57" w:type="dxa"/>
        </w:tblCellMar>
        <w:tblLook w:val="0000" w:firstRow="0" w:lastRow="0" w:firstColumn="0" w:lastColumn="0" w:noHBand="0" w:noVBand="0"/>
      </w:tblPr>
      <w:tblGrid>
        <w:gridCol w:w="1190"/>
        <w:gridCol w:w="7858"/>
        <w:gridCol w:w="1158"/>
      </w:tblGrid>
      <w:tr w:rsidR="00E23345" w:rsidRPr="009C5E3B" w14:paraId="6F97CCBC" w14:textId="77777777" w:rsidTr="005B26BB">
        <w:tc>
          <w:tcPr>
            <w:tcW w:w="1190" w:type="dxa"/>
          </w:tcPr>
          <w:p w14:paraId="0C74EF71" w14:textId="50E9F0D1" w:rsidR="00E23345" w:rsidRDefault="00E23345" w:rsidP="005B26BB">
            <w:pPr>
              <w:jc w:val="left"/>
              <w:rPr>
                <w:sz w:val="2"/>
                <w:szCs w:val="2"/>
              </w:rPr>
            </w:pPr>
            <w:r w:rsidRPr="009C5E3B">
              <w:rPr>
                <w:noProof/>
                <w:sz w:val="21"/>
                <w:szCs w:val="22"/>
                <w:lang w:bidi="lv-LV"/>
              </w:rPr>
              <w:drawing>
                <wp:inline distT="0" distB="0" distL="0" distR="0" wp14:anchorId="2D9631B9" wp14:editId="75FE4F8F">
                  <wp:extent cx="664763" cy="628299"/>
                  <wp:effectExtent l="0" t="0" r="2540" b="635"/>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8"/>
                          <a:srcRect l="6310" t="5551" r="5646" b="5557"/>
                          <a:stretch/>
                        </pic:blipFill>
                        <pic:spPr bwMode="auto">
                          <a:xfrm>
                            <a:off x="0" y="0"/>
                            <a:ext cx="665305" cy="628811"/>
                          </a:xfrm>
                          <a:prstGeom prst="rect">
                            <a:avLst/>
                          </a:prstGeom>
                          <a:ln>
                            <a:noFill/>
                          </a:ln>
                          <a:extLst>
                            <a:ext uri="{53640926-AAD7-44D8-BBD7-CCE9431645EC}">
                              <a14:shadowObscured xmlns:a14="http://schemas.microsoft.com/office/drawing/2010/main"/>
                            </a:ext>
                          </a:extLst>
                        </pic:spPr>
                      </pic:pic>
                    </a:graphicData>
                  </a:graphic>
                </wp:inline>
              </w:drawing>
            </w:r>
          </w:p>
        </w:tc>
        <w:tc>
          <w:tcPr>
            <w:tcW w:w="7858" w:type="dxa"/>
            <w:vAlign w:val="center"/>
          </w:tcPr>
          <w:p w14:paraId="2CA0BB2F" w14:textId="77777777" w:rsidR="00E23345" w:rsidRPr="009C5E3B" w:rsidRDefault="00E23345" w:rsidP="00E23345">
            <w:pPr>
              <w:jc w:val="center"/>
              <w:rPr>
                <w:sz w:val="21"/>
                <w:szCs w:val="21"/>
              </w:rPr>
            </w:pPr>
            <w:r w:rsidRPr="009C5E3B">
              <w:rPr>
                <w:sz w:val="21"/>
                <w:szCs w:val="21"/>
                <w:lang w:bidi="lv-LV"/>
              </w:rPr>
              <w:t>Terapeitiskās lietošanas atļaujas (TLA) pieteikuma kontrolsaraksts:</w:t>
            </w:r>
          </w:p>
          <w:p w14:paraId="2D39BF9C" w14:textId="77777777" w:rsidR="00E23345" w:rsidRPr="009C5E3B" w:rsidRDefault="00E23345" w:rsidP="00E23345">
            <w:pPr>
              <w:spacing w:before="120"/>
              <w:jc w:val="center"/>
              <w:rPr>
                <w:b/>
                <w:bCs/>
                <w:sz w:val="21"/>
                <w:szCs w:val="21"/>
              </w:rPr>
            </w:pPr>
            <w:r w:rsidRPr="009C5E3B">
              <w:rPr>
                <w:b/>
                <w:sz w:val="21"/>
                <w:szCs w:val="21"/>
                <w:lang w:bidi="lv-LV"/>
              </w:rPr>
              <w:t>Augšanas hormona deficīts bērniem, pusaudžiem un pieaugušajiem</w:t>
            </w:r>
          </w:p>
          <w:p w14:paraId="0246F0DA" w14:textId="1B788CBB" w:rsidR="00E23345" w:rsidRPr="009C5E3B" w:rsidRDefault="00E23345" w:rsidP="00E23345">
            <w:pPr>
              <w:spacing w:before="120"/>
              <w:jc w:val="center"/>
              <w:rPr>
                <w:i/>
                <w:iCs/>
                <w:sz w:val="21"/>
                <w:szCs w:val="22"/>
              </w:rPr>
            </w:pPr>
            <w:r w:rsidRPr="009C5E3B">
              <w:rPr>
                <w:i/>
                <w:sz w:val="21"/>
                <w:szCs w:val="21"/>
                <w:lang w:bidi="lv-LV"/>
              </w:rPr>
              <w:t>Aizliegtā viela: cilvēka augšanas hormons</w:t>
            </w:r>
          </w:p>
        </w:tc>
        <w:tc>
          <w:tcPr>
            <w:tcW w:w="1158" w:type="dxa"/>
            <w:tcBorders>
              <w:top w:val="single" w:sz="4" w:space="0" w:color="auto"/>
              <w:left w:val="single" w:sz="4" w:space="0" w:color="auto"/>
              <w:bottom w:val="single" w:sz="4" w:space="0" w:color="auto"/>
              <w:right w:val="single" w:sz="4" w:space="0" w:color="auto"/>
            </w:tcBorders>
            <w:vAlign w:val="center"/>
          </w:tcPr>
          <w:p w14:paraId="76928F7E" w14:textId="614B6559" w:rsidR="00E23345" w:rsidRPr="003C6289" w:rsidRDefault="003C6289" w:rsidP="005B26BB">
            <w:pPr>
              <w:jc w:val="center"/>
              <w:rPr>
                <w:iCs/>
                <w:sz w:val="16"/>
                <w:szCs w:val="16"/>
              </w:rPr>
            </w:pPr>
            <w:r>
              <w:rPr>
                <w:noProof/>
              </w:rPr>
              <w:drawing>
                <wp:inline distT="0" distB="0" distL="0" distR="0" wp14:anchorId="247BF4E1" wp14:editId="5BBEF7FD">
                  <wp:extent cx="662940" cy="969645"/>
                  <wp:effectExtent l="0" t="0" r="3810" b="1905"/>
                  <wp:docPr id="12444589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458919" name="Picture 2"/>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2940" cy="969645"/>
                          </a:xfrm>
                          <a:prstGeom prst="rect">
                            <a:avLst/>
                          </a:prstGeom>
                          <a:noFill/>
                          <a:ln>
                            <a:noFill/>
                          </a:ln>
                        </pic:spPr>
                      </pic:pic>
                    </a:graphicData>
                  </a:graphic>
                </wp:inline>
              </w:drawing>
            </w:r>
          </w:p>
        </w:tc>
      </w:tr>
    </w:tbl>
    <w:p w14:paraId="37769BDE" w14:textId="77777777" w:rsidR="00E23345" w:rsidRPr="009C5E3B" w:rsidRDefault="00E23345" w:rsidP="00E23345">
      <w:pPr>
        <w:pBdr>
          <w:bottom w:val="single" w:sz="12" w:space="1" w:color="auto"/>
        </w:pBdr>
        <w:rPr>
          <w:sz w:val="16"/>
          <w:szCs w:val="16"/>
        </w:rPr>
      </w:pPr>
    </w:p>
    <w:p w14:paraId="3CE7E40D" w14:textId="77777777" w:rsidR="00963C4D" w:rsidRDefault="00963C4D" w:rsidP="00E23345">
      <w:pPr>
        <w:spacing w:before="120" w:after="120"/>
        <w:rPr>
          <w:sz w:val="21"/>
          <w:szCs w:val="22"/>
          <w:lang w:bidi="lv-LV"/>
        </w:rPr>
      </w:pPr>
      <w:r w:rsidRPr="00963C4D">
        <w:rPr>
          <w:sz w:val="21"/>
          <w:szCs w:val="22"/>
          <w:lang w:bidi="lv-LV"/>
        </w:rPr>
        <w:t>Šis kontrolsaraksts sniedz sportistam un viņa ārstam norādījumus par prasībām attiecībā uz TLA pieteikumu, kas ļaus Terapeitiskās lietošanas atļauju piešķiršanas komisijai (TLA komisija) novērtēt, vai ir izpildītas attiecīgās Terapeitiskās lietošanas atļaujas starptautiskā standarta (ISTUE) prasības.</w:t>
      </w:r>
    </w:p>
    <w:p w14:paraId="0B3412EE" w14:textId="5690CD73" w:rsidR="00C548CF" w:rsidRPr="009C5E3B" w:rsidRDefault="00E23345" w:rsidP="00E23345">
      <w:pPr>
        <w:spacing w:before="120" w:after="120"/>
        <w:rPr>
          <w:sz w:val="21"/>
          <w:szCs w:val="21"/>
        </w:rPr>
      </w:pPr>
      <w:r w:rsidRPr="009C5E3B">
        <w:rPr>
          <w:sz w:val="21"/>
          <w:szCs w:val="22"/>
          <w:lang w:bidi="lv-LV"/>
        </w:rPr>
        <w:t>Lūdzu, ņemiet vērā, ka ar aizpildīto TLA pieteikuma anketu vien nepietiek</w:t>
      </w:r>
      <w:r w:rsidR="00C34AB5">
        <w:rPr>
          <w:sz w:val="21"/>
          <w:szCs w:val="22"/>
          <w:lang w:bidi="lv-LV"/>
        </w:rPr>
        <w:t>,</w:t>
      </w:r>
      <w:r w:rsidRPr="009C5E3B">
        <w:rPr>
          <w:sz w:val="21"/>
          <w:szCs w:val="22"/>
          <w:lang w:bidi="lv-LV"/>
        </w:rPr>
        <w:t xml:space="preserve"> papildus </w:t>
      </w:r>
      <w:r w:rsidRPr="00876852">
        <w:rPr>
          <w:sz w:val="21"/>
          <w:szCs w:val="22"/>
          <w:u w:val="single"/>
          <w:lang w:bidi="lv-LV"/>
        </w:rPr>
        <w:t>ir jāiesniedz</w:t>
      </w:r>
      <w:r w:rsidRPr="009C5E3B">
        <w:rPr>
          <w:sz w:val="21"/>
          <w:szCs w:val="22"/>
          <w:lang w:bidi="lv-LV"/>
        </w:rPr>
        <w:t xml:space="preserve"> medicīnisko stāvokli apstiprinoši dokumenti. Aizpildīts pieteikums un kontrolsaraksts </w:t>
      </w:r>
      <w:r w:rsidR="00E4726C" w:rsidRPr="00E4726C">
        <w:rPr>
          <w:sz w:val="21"/>
          <w:szCs w:val="22"/>
          <w:lang w:bidi="lv-LV"/>
        </w:rPr>
        <w:t>negarantē</w:t>
      </w:r>
      <w:r w:rsidRPr="009C5E3B">
        <w:rPr>
          <w:sz w:val="21"/>
          <w:szCs w:val="22"/>
          <w:lang w:bidi="lv-LV"/>
        </w:rPr>
        <w:t xml:space="preserve"> TLA piešķiršanu. Atsevišķos gadījumos TLA var piešķirt, ja pieteikumam nav pievienoti visi kontrolsaraksta elementi.</w:t>
      </w:r>
    </w:p>
    <w:tbl>
      <w:tblPr>
        <w:tblOverlap w:val="never"/>
        <w:tblW w:w="10206" w:type="dxa"/>
        <w:tblInd w:w="-5" w:type="dxa"/>
        <w:tblLayout w:type="fixed"/>
        <w:tblCellMar>
          <w:top w:w="57" w:type="dxa"/>
          <w:left w:w="57" w:type="dxa"/>
          <w:bottom w:w="57" w:type="dxa"/>
          <w:right w:w="57" w:type="dxa"/>
        </w:tblCellMar>
        <w:tblLook w:val="04A0" w:firstRow="1" w:lastRow="0" w:firstColumn="1" w:lastColumn="0" w:noHBand="0" w:noVBand="1"/>
      </w:tblPr>
      <w:tblGrid>
        <w:gridCol w:w="634"/>
        <w:gridCol w:w="720"/>
        <w:gridCol w:w="8852"/>
      </w:tblGrid>
      <w:tr w:rsidR="00C548CF" w:rsidRPr="009C5E3B" w14:paraId="0B3412F4" w14:textId="77777777" w:rsidTr="00E23345">
        <w:trPr>
          <w:trHeight w:val="20"/>
        </w:trPr>
        <w:tc>
          <w:tcPr>
            <w:tcW w:w="634" w:type="dxa"/>
            <w:tcBorders>
              <w:top w:val="single" w:sz="4" w:space="0" w:color="auto"/>
              <w:left w:val="single" w:sz="4" w:space="0" w:color="auto"/>
            </w:tcBorders>
            <w:shd w:val="clear" w:color="auto" w:fill="25B216"/>
            <w:vAlign w:val="center"/>
          </w:tcPr>
          <w:p w14:paraId="0B3412F2" w14:textId="6C89D909" w:rsidR="00C548CF" w:rsidRPr="009C5E3B" w:rsidRDefault="00E23345" w:rsidP="00E23345">
            <w:pPr>
              <w:jc w:val="left"/>
              <w:rPr>
                <w:rFonts w:cs="Arial"/>
                <w:sz w:val="21"/>
                <w:szCs w:val="21"/>
              </w:rPr>
            </w:pPr>
            <w:r w:rsidRPr="009C5E3B">
              <w:rPr>
                <w:rFonts w:cs="Arial"/>
                <w:sz w:val="21"/>
                <w:szCs w:val="21"/>
                <w:lang w:bidi="lv-LV"/>
              </w:rPr>
              <w:sym w:font="Wingdings 2" w:char="F0A3"/>
            </w:r>
          </w:p>
        </w:tc>
        <w:tc>
          <w:tcPr>
            <w:tcW w:w="9572" w:type="dxa"/>
            <w:gridSpan w:val="2"/>
            <w:tcBorders>
              <w:top w:val="single" w:sz="4" w:space="0" w:color="auto"/>
              <w:left w:val="single" w:sz="4" w:space="0" w:color="auto"/>
              <w:right w:val="single" w:sz="4" w:space="0" w:color="auto"/>
            </w:tcBorders>
            <w:shd w:val="clear" w:color="auto" w:fill="25B216"/>
            <w:vAlign w:val="center"/>
          </w:tcPr>
          <w:p w14:paraId="0B3412F3" w14:textId="77777777" w:rsidR="00C548CF" w:rsidRPr="009C5E3B" w:rsidRDefault="00E75288" w:rsidP="00E23345">
            <w:pPr>
              <w:jc w:val="left"/>
              <w:rPr>
                <w:rFonts w:cs="Arial"/>
                <w:sz w:val="21"/>
                <w:szCs w:val="21"/>
              </w:rPr>
            </w:pPr>
            <w:r w:rsidRPr="009C5E3B">
              <w:rPr>
                <w:rFonts w:cs="Arial"/>
                <w:b/>
                <w:sz w:val="21"/>
                <w:szCs w:val="21"/>
                <w:lang w:bidi="lv-LV"/>
              </w:rPr>
              <w:t>TLA pieteikuma anketā</w:t>
            </w:r>
            <w:r w:rsidRPr="009C5E3B">
              <w:rPr>
                <w:rFonts w:cs="Arial"/>
                <w:sz w:val="21"/>
                <w:szCs w:val="21"/>
                <w:lang w:bidi="lv-LV"/>
              </w:rPr>
              <w:t xml:space="preserve"> jābūt:</w:t>
            </w:r>
          </w:p>
        </w:tc>
      </w:tr>
      <w:tr w:rsidR="00E23345" w:rsidRPr="009C5E3B" w14:paraId="0B3412F8" w14:textId="77777777" w:rsidTr="00E23345">
        <w:trPr>
          <w:trHeight w:val="20"/>
        </w:trPr>
        <w:tc>
          <w:tcPr>
            <w:tcW w:w="634" w:type="dxa"/>
            <w:tcBorders>
              <w:top w:val="single" w:sz="4" w:space="0" w:color="auto"/>
              <w:left w:val="single" w:sz="4" w:space="0" w:color="auto"/>
            </w:tcBorders>
            <w:vAlign w:val="center"/>
          </w:tcPr>
          <w:p w14:paraId="0B3412F5" w14:textId="77777777" w:rsidR="00E23345" w:rsidRPr="009C5E3B" w:rsidRDefault="00E23345" w:rsidP="00E23345">
            <w:pPr>
              <w:jc w:val="left"/>
              <w:rPr>
                <w:rFonts w:cs="Arial"/>
                <w:sz w:val="21"/>
                <w:szCs w:val="21"/>
              </w:rPr>
            </w:pPr>
          </w:p>
        </w:tc>
        <w:tc>
          <w:tcPr>
            <w:tcW w:w="720" w:type="dxa"/>
            <w:tcBorders>
              <w:top w:val="single" w:sz="4" w:space="0" w:color="auto"/>
              <w:left w:val="single" w:sz="4" w:space="0" w:color="auto"/>
            </w:tcBorders>
            <w:vAlign w:val="center"/>
          </w:tcPr>
          <w:p w14:paraId="0B3412F6" w14:textId="35B08C7D" w:rsidR="00E23345" w:rsidRPr="009C5E3B" w:rsidRDefault="00E23345" w:rsidP="00E23345">
            <w:pPr>
              <w:jc w:val="left"/>
              <w:rPr>
                <w:rFonts w:cs="Arial"/>
                <w:sz w:val="21"/>
                <w:szCs w:val="21"/>
              </w:rPr>
            </w:pPr>
            <w:r w:rsidRPr="009C5E3B">
              <w:rPr>
                <w:rFonts w:cs="Arial"/>
                <w:sz w:val="21"/>
                <w:szCs w:val="21"/>
                <w:lang w:bidi="lv-LV"/>
              </w:rPr>
              <w:sym w:font="Wingdings 2" w:char="F0A3"/>
            </w:r>
          </w:p>
        </w:tc>
        <w:tc>
          <w:tcPr>
            <w:tcW w:w="8852" w:type="dxa"/>
            <w:tcBorders>
              <w:top w:val="single" w:sz="4" w:space="0" w:color="auto"/>
              <w:left w:val="single" w:sz="4" w:space="0" w:color="auto"/>
              <w:right w:val="single" w:sz="4" w:space="0" w:color="auto"/>
            </w:tcBorders>
            <w:vAlign w:val="center"/>
          </w:tcPr>
          <w:p w14:paraId="0B3412F7" w14:textId="77777777" w:rsidR="00E23345" w:rsidRPr="009C5E3B" w:rsidRDefault="00E23345" w:rsidP="00E23345">
            <w:pPr>
              <w:jc w:val="left"/>
              <w:rPr>
                <w:rFonts w:cs="Arial"/>
                <w:sz w:val="21"/>
                <w:szCs w:val="21"/>
              </w:rPr>
            </w:pPr>
            <w:r w:rsidRPr="009C5E3B">
              <w:rPr>
                <w:rFonts w:cs="Arial"/>
                <w:sz w:val="21"/>
                <w:szCs w:val="21"/>
                <w:lang w:bidi="lv-LV"/>
              </w:rPr>
              <w:t>visām sadaļām aizpildītām salasāmā tekstā;</w:t>
            </w:r>
          </w:p>
        </w:tc>
      </w:tr>
      <w:tr w:rsidR="00E23345" w:rsidRPr="009C5E3B" w14:paraId="0B3412FC" w14:textId="77777777" w:rsidTr="00E23345">
        <w:trPr>
          <w:trHeight w:val="20"/>
        </w:trPr>
        <w:tc>
          <w:tcPr>
            <w:tcW w:w="634" w:type="dxa"/>
            <w:tcBorders>
              <w:top w:val="single" w:sz="4" w:space="0" w:color="auto"/>
              <w:left w:val="single" w:sz="4" w:space="0" w:color="auto"/>
            </w:tcBorders>
            <w:vAlign w:val="center"/>
          </w:tcPr>
          <w:p w14:paraId="0B3412F9" w14:textId="77777777" w:rsidR="00E23345" w:rsidRPr="009C5E3B" w:rsidRDefault="00E23345" w:rsidP="00E23345">
            <w:pPr>
              <w:jc w:val="left"/>
              <w:rPr>
                <w:rFonts w:cs="Arial"/>
                <w:sz w:val="21"/>
                <w:szCs w:val="21"/>
              </w:rPr>
            </w:pPr>
          </w:p>
        </w:tc>
        <w:tc>
          <w:tcPr>
            <w:tcW w:w="720" w:type="dxa"/>
            <w:tcBorders>
              <w:top w:val="single" w:sz="4" w:space="0" w:color="auto"/>
              <w:left w:val="single" w:sz="4" w:space="0" w:color="auto"/>
            </w:tcBorders>
            <w:vAlign w:val="center"/>
          </w:tcPr>
          <w:p w14:paraId="0B3412FA" w14:textId="19680D42" w:rsidR="00E23345" w:rsidRPr="009C5E3B" w:rsidRDefault="00E23345" w:rsidP="00E23345">
            <w:pPr>
              <w:jc w:val="left"/>
              <w:rPr>
                <w:rFonts w:cs="Arial"/>
                <w:sz w:val="21"/>
                <w:szCs w:val="21"/>
              </w:rPr>
            </w:pPr>
            <w:r w:rsidRPr="009C5E3B">
              <w:rPr>
                <w:rFonts w:cs="Arial"/>
                <w:sz w:val="21"/>
                <w:szCs w:val="21"/>
                <w:lang w:bidi="lv-LV"/>
              </w:rPr>
              <w:sym w:font="Wingdings 2" w:char="F0A3"/>
            </w:r>
          </w:p>
        </w:tc>
        <w:tc>
          <w:tcPr>
            <w:tcW w:w="8852" w:type="dxa"/>
            <w:tcBorders>
              <w:top w:val="single" w:sz="4" w:space="0" w:color="auto"/>
              <w:left w:val="single" w:sz="4" w:space="0" w:color="auto"/>
              <w:right w:val="single" w:sz="4" w:space="0" w:color="auto"/>
            </w:tcBorders>
            <w:vAlign w:val="center"/>
          </w:tcPr>
          <w:p w14:paraId="0B3412FB" w14:textId="171C6DE9" w:rsidR="00E23345" w:rsidRPr="009C5E3B" w:rsidRDefault="00085476" w:rsidP="00E23345">
            <w:pPr>
              <w:jc w:val="left"/>
              <w:rPr>
                <w:rFonts w:cs="Arial"/>
                <w:sz w:val="21"/>
                <w:szCs w:val="21"/>
              </w:rPr>
            </w:pPr>
            <w:r w:rsidRPr="00085476">
              <w:rPr>
                <w:rFonts w:cs="Arial"/>
                <w:sz w:val="21"/>
                <w:szCs w:val="21"/>
                <w:lang w:bidi="lv-LV"/>
              </w:rPr>
              <w:t>visām sadaļām aizpildītām latviešu valodā</w:t>
            </w:r>
            <w:r w:rsidR="00E23345" w:rsidRPr="009C5E3B">
              <w:rPr>
                <w:rFonts w:cs="Arial"/>
                <w:sz w:val="21"/>
                <w:szCs w:val="21"/>
                <w:lang w:bidi="lv-LV"/>
              </w:rPr>
              <w:t>;</w:t>
            </w:r>
          </w:p>
        </w:tc>
      </w:tr>
      <w:tr w:rsidR="00E23345" w:rsidRPr="009C5E3B" w14:paraId="0B341300" w14:textId="77777777" w:rsidTr="00E23345">
        <w:trPr>
          <w:trHeight w:val="20"/>
        </w:trPr>
        <w:tc>
          <w:tcPr>
            <w:tcW w:w="634" w:type="dxa"/>
            <w:tcBorders>
              <w:top w:val="single" w:sz="4" w:space="0" w:color="auto"/>
              <w:left w:val="single" w:sz="4" w:space="0" w:color="auto"/>
            </w:tcBorders>
            <w:vAlign w:val="center"/>
          </w:tcPr>
          <w:p w14:paraId="0B3412FD" w14:textId="77777777" w:rsidR="00E23345" w:rsidRPr="009C5E3B" w:rsidRDefault="00E23345" w:rsidP="00E23345">
            <w:pPr>
              <w:jc w:val="left"/>
              <w:rPr>
                <w:rFonts w:cs="Arial"/>
                <w:sz w:val="21"/>
                <w:szCs w:val="21"/>
              </w:rPr>
            </w:pPr>
          </w:p>
        </w:tc>
        <w:tc>
          <w:tcPr>
            <w:tcW w:w="720" w:type="dxa"/>
            <w:tcBorders>
              <w:top w:val="single" w:sz="4" w:space="0" w:color="auto"/>
              <w:left w:val="single" w:sz="4" w:space="0" w:color="auto"/>
            </w:tcBorders>
            <w:vAlign w:val="center"/>
          </w:tcPr>
          <w:p w14:paraId="0B3412FE" w14:textId="48946F6F" w:rsidR="00E23345" w:rsidRPr="009C5E3B" w:rsidRDefault="00E23345" w:rsidP="00E23345">
            <w:pPr>
              <w:jc w:val="left"/>
              <w:rPr>
                <w:rFonts w:cs="Arial"/>
                <w:sz w:val="21"/>
                <w:szCs w:val="21"/>
              </w:rPr>
            </w:pPr>
            <w:r w:rsidRPr="009C5E3B">
              <w:rPr>
                <w:rFonts w:cs="Arial"/>
                <w:sz w:val="21"/>
                <w:szCs w:val="21"/>
                <w:lang w:bidi="lv-LV"/>
              </w:rPr>
              <w:sym w:font="Wingdings 2" w:char="F0A3"/>
            </w:r>
          </w:p>
        </w:tc>
        <w:tc>
          <w:tcPr>
            <w:tcW w:w="8852" w:type="dxa"/>
            <w:tcBorders>
              <w:top w:val="single" w:sz="4" w:space="0" w:color="auto"/>
              <w:left w:val="single" w:sz="4" w:space="0" w:color="auto"/>
              <w:right w:val="single" w:sz="4" w:space="0" w:color="auto"/>
            </w:tcBorders>
            <w:vAlign w:val="center"/>
          </w:tcPr>
          <w:p w14:paraId="0B3412FF" w14:textId="04160248" w:rsidR="00E23345" w:rsidRPr="009C5E3B" w:rsidRDefault="00085476" w:rsidP="00E23345">
            <w:pPr>
              <w:jc w:val="left"/>
              <w:rPr>
                <w:rFonts w:cs="Arial"/>
                <w:sz w:val="21"/>
                <w:szCs w:val="21"/>
              </w:rPr>
            </w:pPr>
            <w:r w:rsidRPr="00085476">
              <w:rPr>
                <w:rFonts w:cs="Arial"/>
                <w:sz w:val="21"/>
                <w:szCs w:val="21"/>
                <w:lang w:bidi="lv-LV"/>
              </w:rPr>
              <w:t>sportista ārsta</w:t>
            </w:r>
            <w:r w:rsidR="00E23345" w:rsidRPr="009C5E3B">
              <w:rPr>
                <w:rFonts w:cs="Arial"/>
                <w:sz w:val="21"/>
                <w:szCs w:val="21"/>
                <w:lang w:bidi="lv-LV"/>
              </w:rPr>
              <w:t xml:space="preserve"> parakstam;</w:t>
            </w:r>
          </w:p>
        </w:tc>
      </w:tr>
      <w:tr w:rsidR="00E23345" w:rsidRPr="009C5E3B" w14:paraId="0B341304" w14:textId="77777777" w:rsidTr="00E23345">
        <w:trPr>
          <w:trHeight w:val="20"/>
        </w:trPr>
        <w:tc>
          <w:tcPr>
            <w:tcW w:w="634" w:type="dxa"/>
            <w:tcBorders>
              <w:top w:val="single" w:sz="4" w:space="0" w:color="auto"/>
              <w:left w:val="single" w:sz="4" w:space="0" w:color="auto"/>
            </w:tcBorders>
            <w:vAlign w:val="center"/>
          </w:tcPr>
          <w:p w14:paraId="0B341301" w14:textId="77777777" w:rsidR="00E23345" w:rsidRPr="009C5E3B" w:rsidRDefault="00E23345" w:rsidP="00E23345">
            <w:pPr>
              <w:jc w:val="left"/>
              <w:rPr>
                <w:rFonts w:cs="Arial"/>
                <w:sz w:val="21"/>
                <w:szCs w:val="21"/>
              </w:rPr>
            </w:pPr>
          </w:p>
        </w:tc>
        <w:tc>
          <w:tcPr>
            <w:tcW w:w="720" w:type="dxa"/>
            <w:tcBorders>
              <w:top w:val="single" w:sz="4" w:space="0" w:color="auto"/>
              <w:left w:val="single" w:sz="4" w:space="0" w:color="auto"/>
            </w:tcBorders>
            <w:vAlign w:val="center"/>
          </w:tcPr>
          <w:p w14:paraId="0B341302" w14:textId="3B754FFD" w:rsidR="00E23345" w:rsidRPr="009C5E3B" w:rsidRDefault="00E23345" w:rsidP="00E23345">
            <w:pPr>
              <w:jc w:val="left"/>
              <w:rPr>
                <w:rFonts w:cs="Arial"/>
                <w:sz w:val="21"/>
                <w:szCs w:val="21"/>
              </w:rPr>
            </w:pPr>
            <w:r w:rsidRPr="009C5E3B">
              <w:rPr>
                <w:rFonts w:cs="Arial"/>
                <w:sz w:val="21"/>
                <w:szCs w:val="21"/>
                <w:lang w:bidi="lv-LV"/>
              </w:rPr>
              <w:sym w:font="Wingdings 2" w:char="F0A3"/>
            </w:r>
          </w:p>
        </w:tc>
        <w:tc>
          <w:tcPr>
            <w:tcW w:w="8852" w:type="dxa"/>
            <w:tcBorders>
              <w:top w:val="single" w:sz="4" w:space="0" w:color="auto"/>
              <w:left w:val="single" w:sz="4" w:space="0" w:color="auto"/>
              <w:right w:val="single" w:sz="4" w:space="0" w:color="auto"/>
            </w:tcBorders>
            <w:vAlign w:val="center"/>
          </w:tcPr>
          <w:p w14:paraId="0B341303" w14:textId="68F912D8" w:rsidR="00E23345" w:rsidRPr="009C5E3B" w:rsidRDefault="004F154F" w:rsidP="00E23345">
            <w:pPr>
              <w:jc w:val="left"/>
              <w:rPr>
                <w:rFonts w:cs="Arial"/>
                <w:sz w:val="21"/>
                <w:szCs w:val="21"/>
              </w:rPr>
            </w:pPr>
            <w:r>
              <w:rPr>
                <w:rFonts w:cs="Arial"/>
                <w:sz w:val="21"/>
                <w:szCs w:val="21"/>
                <w:lang w:bidi="lv-LV"/>
              </w:rPr>
              <w:t>s</w:t>
            </w:r>
            <w:r w:rsidR="00E23345" w:rsidRPr="009C5E3B">
              <w:rPr>
                <w:rFonts w:cs="Arial"/>
                <w:sz w:val="21"/>
                <w:szCs w:val="21"/>
                <w:lang w:bidi="lv-LV"/>
              </w:rPr>
              <w:t>portista</w:t>
            </w:r>
            <w:r>
              <w:rPr>
                <w:rFonts w:cs="Arial"/>
                <w:sz w:val="21"/>
                <w:szCs w:val="21"/>
                <w:lang w:bidi="lv-LV"/>
              </w:rPr>
              <w:t xml:space="preserve"> </w:t>
            </w:r>
            <w:r w:rsidRPr="004F154F">
              <w:rPr>
                <w:rFonts w:cs="Arial"/>
                <w:sz w:val="21"/>
                <w:szCs w:val="21"/>
                <w:lang w:bidi="lv-LV"/>
              </w:rPr>
              <w:t>vai sportista aizbildņa</w:t>
            </w:r>
            <w:r w:rsidR="00E23345" w:rsidRPr="009C5E3B">
              <w:rPr>
                <w:rFonts w:cs="Arial"/>
                <w:sz w:val="21"/>
                <w:szCs w:val="21"/>
                <w:lang w:bidi="lv-LV"/>
              </w:rPr>
              <w:t xml:space="preserve"> parakstam.</w:t>
            </w:r>
          </w:p>
        </w:tc>
      </w:tr>
      <w:tr w:rsidR="00C548CF" w:rsidRPr="009C5E3B" w14:paraId="0B341307" w14:textId="77777777" w:rsidTr="00E23345">
        <w:trPr>
          <w:trHeight w:val="20"/>
        </w:trPr>
        <w:tc>
          <w:tcPr>
            <w:tcW w:w="634" w:type="dxa"/>
            <w:tcBorders>
              <w:top w:val="single" w:sz="4" w:space="0" w:color="auto"/>
              <w:left w:val="single" w:sz="4" w:space="0" w:color="auto"/>
            </w:tcBorders>
            <w:shd w:val="clear" w:color="auto" w:fill="25B216"/>
            <w:vAlign w:val="center"/>
          </w:tcPr>
          <w:p w14:paraId="0B341305" w14:textId="54FC9673" w:rsidR="00C548CF" w:rsidRPr="009C5E3B" w:rsidRDefault="00E23345" w:rsidP="00E23345">
            <w:pPr>
              <w:jc w:val="left"/>
              <w:rPr>
                <w:rFonts w:cs="Arial"/>
                <w:sz w:val="21"/>
                <w:szCs w:val="21"/>
              </w:rPr>
            </w:pPr>
            <w:r w:rsidRPr="009C5E3B">
              <w:rPr>
                <w:rFonts w:cs="Arial"/>
                <w:sz w:val="21"/>
                <w:szCs w:val="21"/>
                <w:lang w:bidi="lv-LV"/>
              </w:rPr>
              <w:sym w:font="Wingdings 2" w:char="F0A3"/>
            </w:r>
          </w:p>
        </w:tc>
        <w:tc>
          <w:tcPr>
            <w:tcW w:w="9572" w:type="dxa"/>
            <w:gridSpan w:val="2"/>
            <w:tcBorders>
              <w:top w:val="single" w:sz="4" w:space="0" w:color="auto"/>
              <w:left w:val="single" w:sz="4" w:space="0" w:color="auto"/>
              <w:right w:val="single" w:sz="4" w:space="0" w:color="auto"/>
            </w:tcBorders>
            <w:shd w:val="clear" w:color="auto" w:fill="25B216"/>
            <w:vAlign w:val="center"/>
          </w:tcPr>
          <w:p w14:paraId="0B341306" w14:textId="77777777" w:rsidR="00C548CF" w:rsidRPr="009C5E3B" w:rsidRDefault="00E75288" w:rsidP="00E23345">
            <w:pPr>
              <w:jc w:val="left"/>
              <w:rPr>
                <w:rFonts w:cs="Arial"/>
                <w:sz w:val="21"/>
                <w:szCs w:val="21"/>
              </w:rPr>
            </w:pPr>
            <w:r w:rsidRPr="009C5E3B">
              <w:rPr>
                <w:rFonts w:cs="Arial"/>
                <w:b/>
                <w:sz w:val="21"/>
                <w:szCs w:val="21"/>
                <w:lang w:bidi="lv-LV"/>
              </w:rPr>
              <w:t>Medicīniskajā dokumentācijā</w:t>
            </w:r>
            <w:r w:rsidRPr="009C5E3B">
              <w:rPr>
                <w:rFonts w:cs="Arial"/>
                <w:sz w:val="21"/>
                <w:szCs w:val="21"/>
                <w:lang w:bidi="lv-LV"/>
              </w:rPr>
              <w:t xml:space="preserve"> jāiekļauj sīka informācija par:</w:t>
            </w:r>
          </w:p>
        </w:tc>
      </w:tr>
      <w:tr w:rsidR="00E23345" w:rsidRPr="009C5E3B" w14:paraId="0B34130E" w14:textId="77777777" w:rsidTr="00E23345">
        <w:trPr>
          <w:trHeight w:val="20"/>
        </w:trPr>
        <w:tc>
          <w:tcPr>
            <w:tcW w:w="634" w:type="dxa"/>
            <w:tcBorders>
              <w:top w:val="single" w:sz="4" w:space="0" w:color="auto"/>
              <w:left w:val="single" w:sz="4" w:space="0" w:color="auto"/>
            </w:tcBorders>
          </w:tcPr>
          <w:p w14:paraId="0B341308" w14:textId="77777777" w:rsidR="00E23345" w:rsidRPr="009C5E3B" w:rsidRDefault="00E23345" w:rsidP="00E23345">
            <w:pPr>
              <w:jc w:val="left"/>
              <w:rPr>
                <w:rFonts w:cs="Arial"/>
                <w:sz w:val="21"/>
                <w:szCs w:val="21"/>
              </w:rPr>
            </w:pPr>
          </w:p>
        </w:tc>
        <w:tc>
          <w:tcPr>
            <w:tcW w:w="720" w:type="dxa"/>
            <w:tcBorders>
              <w:top w:val="single" w:sz="4" w:space="0" w:color="auto"/>
              <w:left w:val="single" w:sz="4" w:space="0" w:color="auto"/>
            </w:tcBorders>
            <w:vAlign w:val="center"/>
          </w:tcPr>
          <w:p w14:paraId="0B341309" w14:textId="47D47E1C" w:rsidR="00E23345" w:rsidRPr="009C5E3B" w:rsidRDefault="00E23345" w:rsidP="00E23345">
            <w:pPr>
              <w:jc w:val="center"/>
              <w:rPr>
                <w:rFonts w:cs="Arial"/>
                <w:sz w:val="21"/>
                <w:szCs w:val="21"/>
              </w:rPr>
            </w:pPr>
            <w:r w:rsidRPr="009C5E3B">
              <w:rPr>
                <w:rFonts w:cs="Arial"/>
                <w:sz w:val="21"/>
                <w:szCs w:val="21"/>
                <w:lang w:bidi="lv-LV"/>
              </w:rPr>
              <w:sym w:font="Wingdings 2" w:char="F0A3"/>
            </w:r>
          </w:p>
        </w:tc>
        <w:tc>
          <w:tcPr>
            <w:tcW w:w="8852" w:type="dxa"/>
            <w:tcBorders>
              <w:top w:val="single" w:sz="4" w:space="0" w:color="auto"/>
              <w:left w:val="single" w:sz="4" w:space="0" w:color="auto"/>
              <w:right w:val="single" w:sz="4" w:space="0" w:color="auto"/>
            </w:tcBorders>
          </w:tcPr>
          <w:p w14:paraId="0B34130B" w14:textId="5323C980" w:rsidR="00E23345" w:rsidRPr="009C5E3B" w:rsidRDefault="0033733D" w:rsidP="00E23345">
            <w:pPr>
              <w:rPr>
                <w:rFonts w:cs="Arial"/>
                <w:sz w:val="21"/>
                <w:szCs w:val="21"/>
              </w:rPr>
            </w:pPr>
            <w:r>
              <w:rPr>
                <w:rFonts w:cs="Arial"/>
                <w:sz w:val="21"/>
                <w:szCs w:val="21"/>
                <w:lang w:bidi="lv-LV"/>
              </w:rPr>
              <w:t>slimības</w:t>
            </w:r>
            <w:r w:rsidR="00E23345" w:rsidRPr="009C5E3B">
              <w:rPr>
                <w:rFonts w:cs="Arial"/>
                <w:sz w:val="21"/>
                <w:szCs w:val="21"/>
                <w:lang w:bidi="lv-LV"/>
              </w:rPr>
              <w:t xml:space="preserve"> vēsturi:</w:t>
            </w:r>
            <w:r w:rsidR="00125BB2">
              <w:rPr>
                <w:rFonts w:cs="Arial"/>
                <w:sz w:val="21"/>
                <w:szCs w:val="21"/>
              </w:rPr>
              <w:t xml:space="preserve"> </w:t>
            </w:r>
            <w:r w:rsidR="00E23345" w:rsidRPr="009C5E3B">
              <w:rPr>
                <w:rFonts w:cs="Arial"/>
                <w:sz w:val="21"/>
                <w:szCs w:val="21"/>
                <w:lang w:bidi="lv-LV"/>
              </w:rPr>
              <w:t>ģenētisku vai iegūtu hipotalāma-hipofīzes slimību (piemēram, hipofīzes audzējs, apstarošana, operācija, traumatisks smadzeņu bojājums), citu hipofīzes hormonu deficītu un informācija, kas pamato augšanas hormona deficīta (</w:t>
            </w:r>
            <w:r w:rsidR="00E23345" w:rsidRPr="009C5E3B">
              <w:rPr>
                <w:rFonts w:cs="Arial"/>
                <w:i/>
                <w:sz w:val="21"/>
                <w:szCs w:val="21"/>
                <w:lang w:bidi="lv-LV"/>
              </w:rPr>
              <w:t>GHD</w:t>
            </w:r>
            <w:r w:rsidR="00E23345" w:rsidRPr="009C5E3B">
              <w:rPr>
                <w:rFonts w:cs="Arial"/>
                <w:sz w:val="21"/>
                <w:szCs w:val="21"/>
                <w:lang w:bidi="lv-LV"/>
              </w:rPr>
              <w:t>) diagnozi:</w:t>
            </w:r>
          </w:p>
          <w:p w14:paraId="0B34130C" w14:textId="291F71E5" w:rsidR="00E23345" w:rsidRPr="009C5E3B" w:rsidRDefault="00E23345" w:rsidP="00E23345">
            <w:pPr>
              <w:pStyle w:val="bulletlist"/>
              <w:rPr>
                <w:sz w:val="21"/>
                <w:szCs w:val="21"/>
              </w:rPr>
            </w:pPr>
            <w:r w:rsidRPr="009C5E3B">
              <w:rPr>
                <w:sz w:val="21"/>
                <w:szCs w:val="21"/>
                <w:lang w:bidi="lv-LV"/>
              </w:rPr>
              <w:t>pieaugušajiem</w:t>
            </w:r>
            <w:r w:rsidRPr="009C5E3B">
              <w:rPr>
                <w:rStyle w:val="FootnoteReference"/>
                <w:sz w:val="21"/>
                <w:szCs w:val="21"/>
                <w:lang w:bidi="lv-LV"/>
              </w:rPr>
              <w:footnoteReference w:id="1"/>
            </w:r>
            <w:r w:rsidRPr="009C5E3B">
              <w:rPr>
                <w:sz w:val="21"/>
                <w:szCs w:val="21"/>
                <w:lang w:bidi="lv-LV"/>
              </w:rPr>
              <w:t xml:space="preserve">: nogurums, vājas fizisko aktivitāšu spējas, abdomināla aptaukošanās, traucēta </w:t>
            </w:r>
            <w:proofErr w:type="spellStart"/>
            <w:r w:rsidRPr="009C5E3B">
              <w:rPr>
                <w:sz w:val="21"/>
                <w:szCs w:val="21"/>
                <w:lang w:bidi="lv-LV"/>
              </w:rPr>
              <w:t>psihosociālā</w:t>
            </w:r>
            <w:proofErr w:type="spellEnd"/>
            <w:r w:rsidRPr="009C5E3B">
              <w:rPr>
                <w:sz w:val="21"/>
                <w:szCs w:val="21"/>
                <w:lang w:bidi="lv-LV"/>
              </w:rPr>
              <w:t xml:space="preserve"> funkcionēšana;</w:t>
            </w:r>
          </w:p>
          <w:p w14:paraId="0B34130D" w14:textId="1DDA1058" w:rsidR="00E23345" w:rsidRPr="009C5E3B" w:rsidRDefault="00E23345" w:rsidP="00E23345">
            <w:pPr>
              <w:pStyle w:val="bulletlist"/>
              <w:rPr>
                <w:sz w:val="21"/>
                <w:szCs w:val="21"/>
              </w:rPr>
            </w:pPr>
            <w:r w:rsidRPr="009C5E3B">
              <w:rPr>
                <w:sz w:val="21"/>
                <w:szCs w:val="21"/>
                <w:lang w:bidi="lv-LV"/>
              </w:rPr>
              <w:t>pārejas periodā</w:t>
            </w:r>
            <w:r w:rsidRPr="009C5E3B">
              <w:rPr>
                <w:rStyle w:val="FootnoteReference"/>
                <w:sz w:val="21"/>
                <w:szCs w:val="21"/>
                <w:lang w:bidi="lv-LV"/>
              </w:rPr>
              <w:footnoteReference w:id="2"/>
            </w:r>
            <w:r w:rsidRPr="009C5E3B">
              <w:rPr>
                <w:sz w:val="21"/>
                <w:szCs w:val="21"/>
                <w:lang w:bidi="lv-LV"/>
              </w:rPr>
              <w:t>: bērns ar mazu augumu un augšanas palēnināšanās, ārstēšana ar cilvēka augšanas faktoru (</w:t>
            </w:r>
            <w:proofErr w:type="spellStart"/>
            <w:r w:rsidRPr="009C5E3B">
              <w:rPr>
                <w:i/>
                <w:sz w:val="21"/>
                <w:szCs w:val="21"/>
                <w:lang w:bidi="lv-LV"/>
              </w:rPr>
              <w:t>hGH</w:t>
            </w:r>
            <w:proofErr w:type="spellEnd"/>
            <w:r w:rsidRPr="009C5E3B">
              <w:rPr>
                <w:sz w:val="21"/>
                <w:szCs w:val="21"/>
                <w:lang w:bidi="lv-LV"/>
              </w:rPr>
              <w:t>) bērna vecumā;</w:t>
            </w:r>
          </w:p>
        </w:tc>
      </w:tr>
      <w:tr w:rsidR="00E23345" w:rsidRPr="009C5E3B" w14:paraId="0B341312" w14:textId="77777777" w:rsidTr="00E23345">
        <w:trPr>
          <w:trHeight w:val="20"/>
        </w:trPr>
        <w:tc>
          <w:tcPr>
            <w:tcW w:w="634" w:type="dxa"/>
            <w:tcBorders>
              <w:top w:val="single" w:sz="4" w:space="0" w:color="auto"/>
              <w:left w:val="single" w:sz="4" w:space="0" w:color="auto"/>
            </w:tcBorders>
          </w:tcPr>
          <w:p w14:paraId="0B34130F" w14:textId="77777777" w:rsidR="00E23345" w:rsidRPr="009C5E3B" w:rsidRDefault="00E23345" w:rsidP="00E23345">
            <w:pPr>
              <w:jc w:val="left"/>
              <w:rPr>
                <w:rFonts w:cs="Arial"/>
                <w:sz w:val="21"/>
                <w:szCs w:val="21"/>
              </w:rPr>
            </w:pPr>
          </w:p>
        </w:tc>
        <w:tc>
          <w:tcPr>
            <w:tcW w:w="720" w:type="dxa"/>
            <w:tcBorders>
              <w:top w:val="single" w:sz="4" w:space="0" w:color="auto"/>
              <w:left w:val="single" w:sz="4" w:space="0" w:color="auto"/>
            </w:tcBorders>
            <w:vAlign w:val="center"/>
          </w:tcPr>
          <w:p w14:paraId="0B341310" w14:textId="4020178E" w:rsidR="00E23345" w:rsidRPr="009C5E3B" w:rsidRDefault="00E23345" w:rsidP="00E23345">
            <w:pPr>
              <w:jc w:val="center"/>
              <w:rPr>
                <w:rFonts w:cs="Arial"/>
                <w:sz w:val="21"/>
                <w:szCs w:val="21"/>
              </w:rPr>
            </w:pPr>
            <w:r w:rsidRPr="009C5E3B">
              <w:rPr>
                <w:rFonts w:cs="Arial"/>
                <w:sz w:val="21"/>
                <w:szCs w:val="21"/>
                <w:lang w:bidi="lv-LV"/>
              </w:rPr>
              <w:sym w:font="Wingdings 2" w:char="F0A3"/>
            </w:r>
          </w:p>
        </w:tc>
        <w:tc>
          <w:tcPr>
            <w:tcW w:w="8852" w:type="dxa"/>
            <w:tcBorders>
              <w:top w:val="single" w:sz="4" w:space="0" w:color="auto"/>
              <w:left w:val="single" w:sz="4" w:space="0" w:color="auto"/>
              <w:right w:val="single" w:sz="4" w:space="0" w:color="auto"/>
            </w:tcBorders>
          </w:tcPr>
          <w:p w14:paraId="0B341311" w14:textId="77777777" w:rsidR="00E23345" w:rsidRPr="009C5E3B" w:rsidRDefault="00E23345" w:rsidP="00E47956">
            <w:pPr>
              <w:rPr>
                <w:rFonts w:cs="Arial"/>
                <w:sz w:val="21"/>
                <w:szCs w:val="21"/>
              </w:rPr>
            </w:pPr>
            <w:r w:rsidRPr="009C5E3B">
              <w:rPr>
                <w:rFonts w:cs="Arial"/>
                <w:sz w:val="21"/>
                <w:szCs w:val="21"/>
                <w:lang w:bidi="lv-LV"/>
              </w:rPr>
              <w:t xml:space="preserve">fizisko pārbaudi: klīniski pierādījumi par </w:t>
            </w:r>
            <w:r w:rsidRPr="009C5E3B">
              <w:rPr>
                <w:rFonts w:cs="Arial"/>
                <w:i/>
                <w:sz w:val="21"/>
                <w:szCs w:val="21"/>
                <w:lang w:bidi="lv-LV"/>
              </w:rPr>
              <w:t>GHD</w:t>
            </w:r>
            <w:r w:rsidRPr="009C5E3B">
              <w:rPr>
                <w:rFonts w:cs="Arial"/>
                <w:sz w:val="21"/>
                <w:szCs w:val="21"/>
                <w:lang w:bidi="lv-LV"/>
              </w:rPr>
              <w:t xml:space="preserve"> pieaugušajam, piemēram, centrāla </w:t>
            </w:r>
            <w:proofErr w:type="spellStart"/>
            <w:r w:rsidRPr="009C5E3B">
              <w:rPr>
                <w:rFonts w:cs="Arial"/>
                <w:sz w:val="21"/>
                <w:szCs w:val="21"/>
                <w:lang w:bidi="lv-LV"/>
              </w:rPr>
              <w:t>adipozitāte</w:t>
            </w:r>
            <w:proofErr w:type="spellEnd"/>
            <w:r w:rsidRPr="009C5E3B">
              <w:rPr>
                <w:rFonts w:cs="Arial"/>
                <w:sz w:val="21"/>
                <w:szCs w:val="21"/>
                <w:lang w:bidi="lv-LV"/>
              </w:rPr>
              <w:t xml:space="preserve">, bāla āda, plāna un sausa āda, rets ķermeņa apmatojums, un pierādījumi par attīstības vai </w:t>
            </w:r>
            <w:proofErr w:type="spellStart"/>
            <w:r w:rsidRPr="009C5E3B">
              <w:rPr>
                <w:rFonts w:cs="Arial"/>
                <w:sz w:val="21"/>
                <w:szCs w:val="21"/>
                <w:lang w:bidi="lv-LV"/>
              </w:rPr>
              <w:t>somatiska</w:t>
            </w:r>
            <w:proofErr w:type="spellEnd"/>
            <w:r w:rsidRPr="009C5E3B">
              <w:rPr>
                <w:rFonts w:cs="Arial"/>
                <w:sz w:val="21"/>
                <w:szCs w:val="21"/>
                <w:lang w:bidi="lv-LV"/>
              </w:rPr>
              <w:t xml:space="preserve"> brieduma trūkumu pacientiem pārejas periodā.</w:t>
            </w:r>
          </w:p>
        </w:tc>
      </w:tr>
      <w:tr w:rsidR="00C548CF" w:rsidRPr="009C5E3B" w14:paraId="0B341315" w14:textId="77777777" w:rsidTr="00E23345">
        <w:trPr>
          <w:trHeight w:val="20"/>
        </w:trPr>
        <w:tc>
          <w:tcPr>
            <w:tcW w:w="634" w:type="dxa"/>
            <w:tcBorders>
              <w:top w:val="single" w:sz="4" w:space="0" w:color="auto"/>
              <w:left w:val="single" w:sz="4" w:space="0" w:color="auto"/>
            </w:tcBorders>
            <w:shd w:val="clear" w:color="auto" w:fill="25B216"/>
            <w:vAlign w:val="center"/>
          </w:tcPr>
          <w:p w14:paraId="0B341313" w14:textId="2FA928BB" w:rsidR="00C548CF" w:rsidRPr="009C5E3B" w:rsidRDefault="00E23345" w:rsidP="00E23345">
            <w:pPr>
              <w:jc w:val="left"/>
              <w:rPr>
                <w:rFonts w:cs="Arial"/>
                <w:sz w:val="21"/>
                <w:szCs w:val="21"/>
              </w:rPr>
            </w:pPr>
            <w:r w:rsidRPr="009C5E3B">
              <w:rPr>
                <w:rFonts w:cs="Arial"/>
                <w:sz w:val="21"/>
                <w:szCs w:val="21"/>
                <w:lang w:bidi="lv-LV"/>
              </w:rPr>
              <w:sym w:font="Wingdings 2" w:char="F0A3"/>
            </w:r>
          </w:p>
        </w:tc>
        <w:tc>
          <w:tcPr>
            <w:tcW w:w="9572" w:type="dxa"/>
            <w:gridSpan w:val="2"/>
            <w:tcBorders>
              <w:top w:val="single" w:sz="4" w:space="0" w:color="auto"/>
              <w:left w:val="single" w:sz="4" w:space="0" w:color="auto"/>
              <w:right w:val="single" w:sz="4" w:space="0" w:color="auto"/>
            </w:tcBorders>
            <w:shd w:val="clear" w:color="auto" w:fill="25B216"/>
            <w:vAlign w:val="center"/>
          </w:tcPr>
          <w:p w14:paraId="0B341314" w14:textId="77777777" w:rsidR="00C548CF" w:rsidRPr="009C5E3B" w:rsidRDefault="00E75288" w:rsidP="00E23345">
            <w:pPr>
              <w:jc w:val="left"/>
              <w:rPr>
                <w:rFonts w:cs="Arial"/>
                <w:sz w:val="21"/>
                <w:szCs w:val="21"/>
              </w:rPr>
            </w:pPr>
            <w:r w:rsidRPr="009C5E3B">
              <w:rPr>
                <w:rFonts w:cs="Arial"/>
                <w:b/>
                <w:sz w:val="21"/>
                <w:szCs w:val="21"/>
                <w:lang w:bidi="lv-LV"/>
              </w:rPr>
              <w:t>Diagnostisko izmeklējumu rezultātos</w:t>
            </w:r>
            <w:r w:rsidRPr="009C5E3B">
              <w:rPr>
                <w:rFonts w:cs="Arial"/>
                <w:sz w:val="21"/>
                <w:szCs w:val="21"/>
                <w:lang w:bidi="lv-LV"/>
              </w:rPr>
              <w:t xml:space="preserve"> jāiekļauj kopijas no:</w:t>
            </w:r>
          </w:p>
        </w:tc>
      </w:tr>
      <w:tr w:rsidR="00E23345" w:rsidRPr="009C5E3B" w14:paraId="0B34131B" w14:textId="77777777" w:rsidTr="00E23345">
        <w:trPr>
          <w:trHeight w:val="20"/>
        </w:trPr>
        <w:tc>
          <w:tcPr>
            <w:tcW w:w="634" w:type="dxa"/>
            <w:tcBorders>
              <w:top w:val="single" w:sz="4" w:space="0" w:color="auto"/>
              <w:left w:val="single" w:sz="4" w:space="0" w:color="auto"/>
            </w:tcBorders>
          </w:tcPr>
          <w:p w14:paraId="0B341316" w14:textId="77777777" w:rsidR="00E23345" w:rsidRPr="009C5E3B" w:rsidRDefault="00E23345" w:rsidP="00E23345">
            <w:pPr>
              <w:jc w:val="left"/>
              <w:rPr>
                <w:rFonts w:cs="Arial"/>
                <w:sz w:val="21"/>
                <w:szCs w:val="21"/>
              </w:rPr>
            </w:pPr>
          </w:p>
        </w:tc>
        <w:tc>
          <w:tcPr>
            <w:tcW w:w="720" w:type="dxa"/>
            <w:tcBorders>
              <w:top w:val="single" w:sz="4" w:space="0" w:color="auto"/>
              <w:left w:val="single" w:sz="4" w:space="0" w:color="auto"/>
            </w:tcBorders>
            <w:vAlign w:val="center"/>
          </w:tcPr>
          <w:p w14:paraId="0B341317" w14:textId="2B54118A" w:rsidR="00E23345" w:rsidRPr="009C5E3B" w:rsidRDefault="00E23345" w:rsidP="00E23345">
            <w:pPr>
              <w:jc w:val="center"/>
              <w:rPr>
                <w:rFonts w:cs="Arial"/>
                <w:sz w:val="21"/>
                <w:szCs w:val="21"/>
              </w:rPr>
            </w:pPr>
            <w:r w:rsidRPr="009C5E3B">
              <w:rPr>
                <w:rFonts w:cs="Arial"/>
                <w:sz w:val="21"/>
                <w:szCs w:val="21"/>
                <w:lang w:bidi="lv-LV"/>
              </w:rPr>
              <w:sym w:font="Wingdings 2" w:char="F0A3"/>
            </w:r>
          </w:p>
        </w:tc>
        <w:tc>
          <w:tcPr>
            <w:tcW w:w="8852" w:type="dxa"/>
            <w:tcBorders>
              <w:top w:val="single" w:sz="4" w:space="0" w:color="auto"/>
              <w:left w:val="single" w:sz="4" w:space="0" w:color="auto"/>
              <w:right w:val="single" w:sz="4" w:space="0" w:color="auto"/>
            </w:tcBorders>
          </w:tcPr>
          <w:p w14:paraId="0B341318" w14:textId="77777777" w:rsidR="00E23345" w:rsidRPr="009C5E3B" w:rsidRDefault="00E23345" w:rsidP="00E23345">
            <w:pPr>
              <w:rPr>
                <w:rFonts w:cs="Arial"/>
                <w:sz w:val="21"/>
                <w:szCs w:val="21"/>
              </w:rPr>
            </w:pPr>
            <w:r w:rsidRPr="009C5E3B">
              <w:rPr>
                <w:rFonts w:cs="Arial"/>
                <w:sz w:val="21"/>
                <w:szCs w:val="21"/>
                <w:lang w:bidi="lv-LV"/>
              </w:rPr>
              <w:t>laboratoriskajiem izmeklējumiem (ar atsauces diapazoniem): insulīnam līdzīgais augšanas faktors 1 (</w:t>
            </w:r>
            <w:r w:rsidRPr="009C5E3B">
              <w:rPr>
                <w:rFonts w:cs="Arial"/>
                <w:i/>
                <w:sz w:val="21"/>
                <w:szCs w:val="21"/>
                <w:lang w:bidi="lv-LV"/>
              </w:rPr>
              <w:t>IGF-1</w:t>
            </w:r>
            <w:r w:rsidRPr="009C5E3B">
              <w:rPr>
                <w:rFonts w:cs="Arial"/>
                <w:sz w:val="21"/>
                <w:szCs w:val="21"/>
                <w:lang w:bidi="lv-LV"/>
              </w:rPr>
              <w:t xml:space="preserve">), kas mērīts 2–4 nedēļas pēc </w:t>
            </w:r>
            <w:proofErr w:type="spellStart"/>
            <w:r w:rsidRPr="009C5E3B">
              <w:rPr>
                <w:rFonts w:cs="Arial"/>
                <w:i/>
                <w:sz w:val="21"/>
                <w:szCs w:val="21"/>
                <w:lang w:bidi="lv-LV"/>
              </w:rPr>
              <w:t>hGH</w:t>
            </w:r>
            <w:proofErr w:type="spellEnd"/>
            <w:r w:rsidRPr="009C5E3B">
              <w:rPr>
                <w:rFonts w:cs="Arial"/>
                <w:sz w:val="21"/>
                <w:szCs w:val="21"/>
                <w:lang w:bidi="lv-LV"/>
              </w:rPr>
              <w:t xml:space="preserve"> terapijas pārtraukšanas, ja pacients to saņem, un ne agrāk kā 12 mēnešus pēc smadzeņu bojājuma gūšanas pacientiem ar traumatisku etioloģiju.</w:t>
            </w:r>
          </w:p>
          <w:p w14:paraId="0B341319" w14:textId="77777777" w:rsidR="00E23345" w:rsidRPr="009C5E3B" w:rsidRDefault="00E23345" w:rsidP="00E23345">
            <w:pPr>
              <w:rPr>
                <w:rFonts w:cs="Arial"/>
                <w:sz w:val="21"/>
                <w:szCs w:val="21"/>
              </w:rPr>
            </w:pPr>
            <w:r w:rsidRPr="009C5E3B">
              <w:rPr>
                <w:rFonts w:cs="Arial"/>
                <w:sz w:val="21"/>
                <w:szCs w:val="21"/>
                <w:lang w:bidi="lv-LV"/>
              </w:rPr>
              <w:t>Hipofīzes darbības izmeklējumiem sākotnējā stāvoklī: vairogdziedzeri stimulējošais hormons (</w:t>
            </w:r>
            <w:r w:rsidRPr="009C5E3B">
              <w:rPr>
                <w:rFonts w:cs="Arial"/>
                <w:i/>
                <w:sz w:val="21"/>
                <w:szCs w:val="21"/>
                <w:lang w:bidi="lv-LV"/>
              </w:rPr>
              <w:t>TSH</w:t>
            </w:r>
            <w:r w:rsidRPr="009C5E3B">
              <w:rPr>
                <w:rFonts w:cs="Arial"/>
                <w:sz w:val="21"/>
                <w:szCs w:val="21"/>
                <w:lang w:bidi="lv-LV"/>
              </w:rPr>
              <w:t>), folikulus stimulējošais hormons (</w:t>
            </w:r>
            <w:r w:rsidRPr="009C5E3B">
              <w:rPr>
                <w:rFonts w:cs="Arial"/>
                <w:i/>
                <w:sz w:val="21"/>
                <w:szCs w:val="21"/>
                <w:lang w:bidi="lv-LV"/>
              </w:rPr>
              <w:t>FSH</w:t>
            </w:r>
            <w:r w:rsidRPr="009C5E3B">
              <w:rPr>
                <w:rFonts w:cs="Arial"/>
                <w:sz w:val="21"/>
                <w:szCs w:val="21"/>
                <w:lang w:bidi="lv-LV"/>
              </w:rPr>
              <w:t xml:space="preserve">), </w:t>
            </w:r>
            <w:proofErr w:type="spellStart"/>
            <w:r w:rsidRPr="009C5E3B">
              <w:rPr>
                <w:rFonts w:cs="Arial"/>
                <w:sz w:val="21"/>
                <w:szCs w:val="21"/>
                <w:lang w:bidi="lv-LV"/>
              </w:rPr>
              <w:t>luteinizējošais</w:t>
            </w:r>
            <w:proofErr w:type="spellEnd"/>
            <w:r w:rsidRPr="009C5E3B">
              <w:rPr>
                <w:rFonts w:cs="Arial"/>
                <w:sz w:val="21"/>
                <w:szCs w:val="21"/>
                <w:lang w:bidi="lv-LV"/>
              </w:rPr>
              <w:t xml:space="preserve"> hormons (</w:t>
            </w:r>
            <w:r w:rsidRPr="009C5E3B">
              <w:rPr>
                <w:rFonts w:cs="Arial"/>
                <w:i/>
                <w:sz w:val="21"/>
                <w:szCs w:val="21"/>
                <w:lang w:bidi="lv-LV"/>
              </w:rPr>
              <w:t>LH</w:t>
            </w:r>
            <w:r w:rsidRPr="009C5E3B">
              <w:rPr>
                <w:rFonts w:cs="Arial"/>
                <w:sz w:val="21"/>
                <w:szCs w:val="21"/>
                <w:lang w:bidi="lv-LV"/>
              </w:rPr>
              <w:t xml:space="preserve">), </w:t>
            </w:r>
            <w:proofErr w:type="spellStart"/>
            <w:r w:rsidRPr="009C5E3B">
              <w:rPr>
                <w:rFonts w:cs="Arial"/>
                <w:sz w:val="21"/>
                <w:szCs w:val="21"/>
                <w:lang w:bidi="lv-LV"/>
              </w:rPr>
              <w:t>prolaktīns</w:t>
            </w:r>
            <w:proofErr w:type="spellEnd"/>
            <w:r w:rsidRPr="009C5E3B">
              <w:rPr>
                <w:rFonts w:cs="Arial"/>
                <w:sz w:val="21"/>
                <w:szCs w:val="21"/>
                <w:lang w:bidi="lv-LV"/>
              </w:rPr>
              <w:t xml:space="preserve">. Jāiekļauj </w:t>
            </w:r>
            <w:proofErr w:type="spellStart"/>
            <w:r w:rsidRPr="009C5E3B">
              <w:rPr>
                <w:rFonts w:cs="Arial"/>
                <w:sz w:val="21"/>
                <w:szCs w:val="21"/>
                <w:lang w:bidi="lv-LV"/>
              </w:rPr>
              <w:t>kortizola</w:t>
            </w:r>
            <w:proofErr w:type="spellEnd"/>
            <w:r w:rsidRPr="009C5E3B">
              <w:rPr>
                <w:rFonts w:cs="Arial"/>
                <w:sz w:val="21"/>
                <w:szCs w:val="21"/>
                <w:lang w:bidi="lv-LV"/>
              </w:rPr>
              <w:t xml:space="preserve"> rīta līmeņa rādītājs, kas ir </w:t>
            </w:r>
            <w:proofErr w:type="spellStart"/>
            <w:r w:rsidRPr="009C5E3B">
              <w:rPr>
                <w:rFonts w:cs="Arial"/>
                <w:sz w:val="21"/>
                <w:szCs w:val="21"/>
                <w:lang w:bidi="lv-LV"/>
              </w:rPr>
              <w:t>adrenokortikotropā</w:t>
            </w:r>
            <w:proofErr w:type="spellEnd"/>
            <w:r w:rsidRPr="009C5E3B">
              <w:rPr>
                <w:rFonts w:cs="Arial"/>
                <w:sz w:val="21"/>
                <w:szCs w:val="21"/>
                <w:lang w:bidi="lv-LV"/>
              </w:rPr>
              <w:t xml:space="preserve"> hormona (</w:t>
            </w:r>
            <w:r w:rsidRPr="009C5E3B">
              <w:rPr>
                <w:rFonts w:cs="Arial"/>
                <w:i/>
                <w:sz w:val="21"/>
                <w:szCs w:val="21"/>
                <w:lang w:bidi="lv-LV"/>
              </w:rPr>
              <w:t>ACTH</w:t>
            </w:r>
            <w:r w:rsidRPr="009C5E3B">
              <w:rPr>
                <w:rFonts w:cs="Arial"/>
                <w:sz w:val="21"/>
                <w:szCs w:val="21"/>
                <w:lang w:bidi="lv-LV"/>
              </w:rPr>
              <w:t>) stāvokļa uzticams indikators.</w:t>
            </w:r>
          </w:p>
          <w:p w14:paraId="0B34131A" w14:textId="77777777" w:rsidR="00E23345" w:rsidRPr="009C5E3B" w:rsidRDefault="00E23345" w:rsidP="00E23345">
            <w:pPr>
              <w:rPr>
                <w:rFonts w:cs="Arial"/>
                <w:sz w:val="21"/>
                <w:szCs w:val="21"/>
              </w:rPr>
            </w:pPr>
            <w:r w:rsidRPr="009C5E3B">
              <w:rPr>
                <w:rFonts w:cs="Arial"/>
                <w:sz w:val="21"/>
                <w:szCs w:val="21"/>
                <w:lang w:bidi="lv-LV"/>
              </w:rPr>
              <w:t xml:space="preserve">Hipofīzes/hipotalāma MRI izmeklējuma, kurā novērtētas strukturālas izmaiņas, jauna </w:t>
            </w:r>
            <w:r w:rsidRPr="009C5E3B">
              <w:rPr>
                <w:rFonts w:cs="Arial"/>
                <w:i/>
                <w:sz w:val="21"/>
                <w:szCs w:val="21"/>
                <w:lang w:bidi="lv-LV"/>
              </w:rPr>
              <w:t>GHD</w:t>
            </w:r>
            <w:r w:rsidRPr="009C5E3B">
              <w:rPr>
                <w:rFonts w:cs="Arial"/>
                <w:sz w:val="21"/>
                <w:szCs w:val="21"/>
                <w:lang w:bidi="lv-LV"/>
              </w:rPr>
              <w:t xml:space="preserve"> gadījumā (neatkarīgi no vecuma), izņemot, ja cēlonis ir ģenētisks (skatīt tālāk);</w:t>
            </w:r>
          </w:p>
        </w:tc>
      </w:tr>
      <w:tr w:rsidR="00E23345" w:rsidRPr="009C5E3B" w14:paraId="0B34131F" w14:textId="77777777" w:rsidTr="00E23345">
        <w:trPr>
          <w:trHeight w:val="20"/>
        </w:trPr>
        <w:tc>
          <w:tcPr>
            <w:tcW w:w="634" w:type="dxa"/>
            <w:tcBorders>
              <w:top w:val="single" w:sz="4" w:space="0" w:color="auto"/>
              <w:left w:val="single" w:sz="4" w:space="0" w:color="auto"/>
            </w:tcBorders>
          </w:tcPr>
          <w:p w14:paraId="0B34131C" w14:textId="77777777" w:rsidR="00E23345" w:rsidRPr="009C5E3B" w:rsidRDefault="00E23345" w:rsidP="00E23345">
            <w:pPr>
              <w:jc w:val="left"/>
              <w:rPr>
                <w:rFonts w:cs="Arial"/>
                <w:sz w:val="21"/>
                <w:szCs w:val="21"/>
              </w:rPr>
            </w:pPr>
          </w:p>
        </w:tc>
        <w:tc>
          <w:tcPr>
            <w:tcW w:w="720" w:type="dxa"/>
            <w:tcBorders>
              <w:top w:val="single" w:sz="4" w:space="0" w:color="auto"/>
              <w:left w:val="single" w:sz="4" w:space="0" w:color="auto"/>
            </w:tcBorders>
            <w:vAlign w:val="center"/>
          </w:tcPr>
          <w:p w14:paraId="0B34131D" w14:textId="33EA5249" w:rsidR="00E23345" w:rsidRPr="009C5E3B" w:rsidRDefault="00E23345" w:rsidP="00E23345">
            <w:pPr>
              <w:jc w:val="center"/>
              <w:rPr>
                <w:rFonts w:cs="Arial"/>
                <w:sz w:val="21"/>
                <w:szCs w:val="21"/>
              </w:rPr>
            </w:pPr>
            <w:r w:rsidRPr="009C5E3B">
              <w:rPr>
                <w:rFonts w:cs="Arial"/>
                <w:sz w:val="21"/>
                <w:szCs w:val="21"/>
                <w:lang w:bidi="lv-LV"/>
              </w:rPr>
              <w:sym w:font="Wingdings 2" w:char="F0A3"/>
            </w:r>
          </w:p>
        </w:tc>
        <w:tc>
          <w:tcPr>
            <w:tcW w:w="8852" w:type="dxa"/>
            <w:tcBorders>
              <w:top w:val="single" w:sz="4" w:space="0" w:color="auto"/>
              <w:left w:val="single" w:sz="4" w:space="0" w:color="auto"/>
              <w:right w:val="single" w:sz="4" w:space="0" w:color="auto"/>
            </w:tcBorders>
          </w:tcPr>
          <w:p w14:paraId="0B34131E" w14:textId="77777777" w:rsidR="00E23345" w:rsidRPr="009C5E3B" w:rsidRDefault="00E23345" w:rsidP="00E23345">
            <w:pPr>
              <w:rPr>
                <w:rFonts w:cs="Arial"/>
                <w:sz w:val="21"/>
                <w:szCs w:val="21"/>
              </w:rPr>
            </w:pPr>
            <w:r w:rsidRPr="009C5E3B">
              <w:rPr>
                <w:rFonts w:cs="Arial"/>
                <w:sz w:val="21"/>
                <w:szCs w:val="21"/>
                <w:lang w:bidi="lv-LV"/>
              </w:rPr>
              <w:t>ja diagnoze noteikta bērnībā, gēnu (</w:t>
            </w:r>
            <w:r w:rsidRPr="009C5E3B">
              <w:rPr>
                <w:rFonts w:cs="Arial"/>
                <w:i/>
                <w:sz w:val="21"/>
                <w:szCs w:val="21"/>
                <w:lang w:bidi="lv-LV"/>
              </w:rPr>
              <w:t>GH-1</w:t>
            </w:r>
            <w:r w:rsidRPr="009C5E3B">
              <w:rPr>
                <w:rFonts w:cs="Arial"/>
                <w:sz w:val="21"/>
                <w:szCs w:val="21"/>
                <w:lang w:bidi="lv-LV"/>
              </w:rPr>
              <w:t xml:space="preserve"> vai </w:t>
            </w:r>
            <w:r w:rsidRPr="009C5E3B">
              <w:rPr>
                <w:rFonts w:cs="Arial"/>
                <w:i/>
                <w:sz w:val="21"/>
                <w:szCs w:val="21"/>
                <w:lang w:bidi="lv-LV"/>
              </w:rPr>
              <w:t>GHRH-R</w:t>
            </w:r>
            <w:r w:rsidRPr="009C5E3B">
              <w:rPr>
                <w:rFonts w:cs="Arial"/>
                <w:sz w:val="21"/>
                <w:szCs w:val="21"/>
                <w:lang w:bidi="lv-LV"/>
              </w:rPr>
              <w:t xml:space="preserve">) vai transkripcijas faktoru mutāciju (piemēram, </w:t>
            </w:r>
            <w:r w:rsidRPr="009C5E3B">
              <w:rPr>
                <w:rFonts w:cs="Arial"/>
                <w:i/>
                <w:sz w:val="21"/>
                <w:szCs w:val="21"/>
                <w:lang w:bidi="lv-LV"/>
              </w:rPr>
              <w:t>PROP-1, POU1F1</w:t>
            </w:r>
            <w:r w:rsidRPr="009C5E3B">
              <w:rPr>
                <w:rFonts w:cs="Arial"/>
                <w:sz w:val="21"/>
                <w:szCs w:val="21"/>
                <w:lang w:bidi="lv-LV"/>
              </w:rPr>
              <w:t xml:space="preserve"> (</w:t>
            </w:r>
            <w:r w:rsidRPr="009C5E3B">
              <w:rPr>
                <w:rFonts w:cs="Arial"/>
                <w:i/>
                <w:sz w:val="21"/>
                <w:szCs w:val="21"/>
                <w:lang w:bidi="lv-LV"/>
              </w:rPr>
              <w:t>Pit-1</w:t>
            </w:r>
            <w:r w:rsidRPr="009C5E3B">
              <w:rPr>
                <w:rFonts w:cs="Arial"/>
                <w:sz w:val="21"/>
                <w:szCs w:val="21"/>
                <w:lang w:bidi="lv-LV"/>
              </w:rPr>
              <w:t xml:space="preserve">)), kas ir zināmi </w:t>
            </w:r>
            <w:proofErr w:type="spellStart"/>
            <w:r w:rsidRPr="009C5E3B">
              <w:rPr>
                <w:rFonts w:cs="Arial"/>
                <w:sz w:val="21"/>
                <w:szCs w:val="21"/>
                <w:lang w:bidi="lv-LV"/>
              </w:rPr>
              <w:t>hipopituitārisma</w:t>
            </w:r>
            <w:proofErr w:type="spellEnd"/>
            <w:r w:rsidRPr="009C5E3B">
              <w:rPr>
                <w:rFonts w:cs="Arial"/>
                <w:sz w:val="21"/>
                <w:szCs w:val="21"/>
                <w:lang w:bidi="lv-LV"/>
              </w:rPr>
              <w:t xml:space="preserve"> cēloņi, izmeklējumiem;</w:t>
            </w:r>
          </w:p>
        </w:tc>
      </w:tr>
      <w:tr w:rsidR="00E23345" w:rsidRPr="009C5E3B" w14:paraId="0B341326" w14:textId="77777777" w:rsidTr="00E23345">
        <w:trPr>
          <w:trHeight w:val="20"/>
        </w:trPr>
        <w:tc>
          <w:tcPr>
            <w:tcW w:w="634" w:type="dxa"/>
            <w:tcBorders>
              <w:top w:val="single" w:sz="4" w:space="0" w:color="auto"/>
              <w:left w:val="single" w:sz="4" w:space="0" w:color="auto"/>
              <w:bottom w:val="single" w:sz="4" w:space="0" w:color="auto"/>
            </w:tcBorders>
          </w:tcPr>
          <w:p w14:paraId="0B341320" w14:textId="77777777" w:rsidR="00E23345" w:rsidRPr="009C5E3B" w:rsidRDefault="00E23345" w:rsidP="00E23345">
            <w:pPr>
              <w:jc w:val="left"/>
              <w:rPr>
                <w:rFonts w:cs="Arial"/>
                <w:sz w:val="21"/>
                <w:szCs w:val="21"/>
              </w:rPr>
            </w:pPr>
          </w:p>
        </w:tc>
        <w:tc>
          <w:tcPr>
            <w:tcW w:w="720" w:type="dxa"/>
            <w:tcBorders>
              <w:top w:val="single" w:sz="4" w:space="0" w:color="auto"/>
              <w:left w:val="single" w:sz="4" w:space="0" w:color="auto"/>
              <w:bottom w:val="single" w:sz="4" w:space="0" w:color="auto"/>
            </w:tcBorders>
            <w:vAlign w:val="center"/>
          </w:tcPr>
          <w:p w14:paraId="0B341321" w14:textId="6ABDD967" w:rsidR="00E23345" w:rsidRPr="009C5E3B" w:rsidRDefault="00E23345" w:rsidP="00E23345">
            <w:pPr>
              <w:jc w:val="center"/>
              <w:rPr>
                <w:rFonts w:cs="Arial"/>
                <w:sz w:val="21"/>
                <w:szCs w:val="21"/>
              </w:rPr>
            </w:pPr>
            <w:r w:rsidRPr="009C5E3B">
              <w:rPr>
                <w:rFonts w:cs="Arial"/>
                <w:sz w:val="21"/>
                <w:szCs w:val="21"/>
                <w:lang w:bidi="lv-LV"/>
              </w:rPr>
              <w:sym w:font="Wingdings 2" w:char="F0A3"/>
            </w:r>
          </w:p>
        </w:tc>
        <w:tc>
          <w:tcPr>
            <w:tcW w:w="8852" w:type="dxa"/>
            <w:tcBorders>
              <w:top w:val="single" w:sz="4" w:space="0" w:color="auto"/>
              <w:left w:val="single" w:sz="4" w:space="0" w:color="auto"/>
              <w:bottom w:val="single" w:sz="4" w:space="0" w:color="auto"/>
              <w:right w:val="single" w:sz="4" w:space="0" w:color="auto"/>
            </w:tcBorders>
          </w:tcPr>
          <w:p w14:paraId="0B341322" w14:textId="77777777" w:rsidR="00E23345" w:rsidRPr="009C5E3B" w:rsidRDefault="00E23345" w:rsidP="00E23345">
            <w:pPr>
              <w:jc w:val="left"/>
              <w:rPr>
                <w:rFonts w:cs="Arial"/>
                <w:sz w:val="21"/>
                <w:szCs w:val="21"/>
              </w:rPr>
            </w:pPr>
            <w:r w:rsidRPr="009C5E3B">
              <w:rPr>
                <w:rFonts w:cs="Arial"/>
                <w:sz w:val="21"/>
                <w:szCs w:val="21"/>
                <w:lang w:bidi="lv-LV"/>
              </w:rPr>
              <w:t>augšanas faktora stimulācijas testiem, kas ietver:</w:t>
            </w:r>
          </w:p>
          <w:p w14:paraId="0B341323" w14:textId="27F83FED" w:rsidR="00E23345" w:rsidRPr="009C5E3B" w:rsidRDefault="00E23345" w:rsidP="00E23345">
            <w:pPr>
              <w:pStyle w:val="bulletlist"/>
              <w:rPr>
                <w:sz w:val="21"/>
                <w:szCs w:val="21"/>
              </w:rPr>
            </w:pPr>
            <w:r w:rsidRPr="009C5E3B">
              <w:rPr>
                <w:sz w:val="21"/>
                <w:szCs w:val="21"/>
                <w:lang w:bidi="lv-LV"/>
              </w:rPr>
              <w:t xml:space="preserve">pieaugušajiem: insulīna tolerances testu, glikagona stimulācijas testu, augšanas hormona </w:t>
            </w:r>
            <w:proofErr w:type="spellStart"/>
            <w:r w:rsidRPr="009C5E3B">
              <w:rPr>
                <w:sz w:val="21"/>
                <w:szCs w:val="21"/>
                <w:lang w:bidi="lv-LV"/>
              </w:rPr>
              <w:t>atbrīvotājhormona</w:t>
            </w:r>
            <w:proofErr w:type="spellEnd"/>
            <w:r w:rsidRPr="009C5E3B">
              <w:rPr>
                <w:sz w:val="21"/>
                <w:szCs w:val="21"/>
                <w:lang w:bidi="lv-LV"/>
              </w:rPr>
              <w:t xml:space="preserve"> (</w:t>
            </w:r>
            <w:r w:rsidRPr="009C5E3B">
              <w:rPr>
                <w:i/>
                <w:sz w:val="21"/>
                <w:szCs w:val="21"/>
                <w:lang w:bidi="lv-LV"/>
              </w:rPr>
              <w:t>GHRH</w:t>
            </w:r>
            <w:r w:rsidRPr="009C5E3B">
              <w:rPr>
                <w:sz w:val="21"/>
                <w:szCs w:val="21"/>
                <w:lang w:bidi="lv-LV"/>
              </w:rPr>
              <w:t xml:space="preserve">) un arginīna stimulācijas testu, </w:t>
            </w:r>
            <w:proofErr w:type="spellStart"/>
            <w:r w:rsidRPr="009C5E3B">
              <w:rPr>
                <w:sz w:val="21"/>
                <w:szCs w:val="21"/>
                <w:lang w:bidi="lv-LV"/>
              </w:rPr>
              <w:t>macimorelīna</w:t>
            </w:r>
            <w:proofErr w:type="spellEnd"/>
            <w:r w:rsidRPr="009C5E3B">
              <w:rPr>
                <w:sz w:val="21"/>
                <w:szCs w:val="21"/>
                <w:lang w:bidi="lv-LV"/>
              </w:rPr>
              <w:t xml:space="preserve"> testu;</w:t>
            </w:r>
          </w:p>
          <w:p w14:paraId="0B341324" w14:textId="4FE96C4B" w:rsidR="00E23345" w:rsidRPr="009C5E3B" w:rsidRDefault="00E23345" w:rsidP="00E23345">
            <w:pPr>
              <w:pStyle w:val="bulletlist"/>
              <w:rPr>
                <w:sz w:val="21"/>
                <w:szCs w:val="21"/>
              </w:rPr>
            </w:pPr>
            <w:r w:rsidRPr="009C5E3B">
              <w:rPr>
                <w:sz w:val="21"/>
                <w:szCs w:val="21"/>
                <w:lang w:bidi="lv-LV"/>
              </w:rPr>
              <w:t xml:space="preserve">pārejas periodā: insulīna tolerances testu, glikagona stimulācijas testu, </w:t>
            </w:r>
            <w:proofErr w:type="spellStart"/>
            <w:r w:rsidRPr="009C5E3B">
              <w:rPr>
                <w:sz w:val="21"/>
                <w:szCs w:val="21"/>
                <w:lang w:bidi="lv-LV"/>
              </w:rPr>
              <w:t>macimorelīna</w:t>
            </w:r>
            <w:proofErr w:type="spellEnd"/>
            <w:r w:rsidRPr="009C5E3B">
              <w:rPr>
                <w:sz w:val="21"/>
                <w:szCs w:val="21"/>
                <w:lang w:bidi="lv-LV"/>
              </w:rPr>
              <w:t xml:space="preserve"> testu.</w:t>
            </w:r>
          </w:p>
          <w:p w14:paraId="0B341325" w14:textId="7826CC57" w:rsidR="00E23345" w:rsidRPr="009C5E3B" w:rsidRDefault="00E23345" w:rsidP="00125BB2">
            <w:pPr>
              <w:rPr>
                <w:rFonts w:cs="Arial"/>
                <w:sz w:val="21"/>
                <w:szCs w:val="21"/>
              </w:rPr>
            </w:pPr>
            <w:r w:rsidRPr="009C5E3B">
              <w:rPr>
                <w:rFonts w:cs="Arial"/>
                <w:sz w:val="21"/>
                <w:szCs w:val="21"/>
                <w:lang w:bidi="lv-LV"/>
              </w:rPr>
              <w:t xml:space="preserve">Piezīme. </w:t>
            </w:r>
            <w:r w:rsidRPr="00125BB2">
              <w:rPr>
                <w:rFonts w:cs="Arial"/>
                <w:i/>
                <w:iCs/>
                <w:sz w:val="21"/>
                <w:szCs w:val="21"/>
                <w:lang w:bidi="lv-LV"/>
              </w:rPr>
              <w:t xml:space="preserve">Stimulācijas testi nav nepieciešami, ja ir diagnosticēts </w:t>
            </w:r>
            <w:proofErr w:type="spellStart"/>
            <w:r w:rsidRPr="00125BB2">
              <w:rPr>
                <w:rFonts w:cs="Arial"/>
                <w:i/>
                <w:iCs/>
                <w:sz w:val="21"/>
                <w:szCs w:val="21"/>
                <w:lang w:bidi="lv-LV"/>
              </w:rPr>
              <w:t>hipopituitārisms</w:t>
            </w:r>
            <w:proofErr w:type="spellEnd"/>
            <w:r w:rsidRPr="00125BB2">
              <w:rPr>
                <w:rFonts w:cs="Arial"/>
                <w:i/>
                <w:iCs/>
                <w:sz w:val="21"/>
                <w:szCs w:val="21"/>
                <w:lang w:bidi="lv-LV"/>
              </w:rPr>
              <w:t xml:space="preserve"> (≥ 3 citu hipofīzes hormonu deficīts) vai ir atklātas gēna vai transkripcijas faktora mutācijas (skatīt iepriekš). Papildu testi nav nepieciešami arī tad, ja IGF-1 līmenis 2–4 nedēļas pēc ārstēšanas pārtraukšanas ir zem –2 SD.</w:t>
            </w:r>
          </w:p>
        </w:tc>
      </w:tr>
    </w:tbl>
    <w:p w14:paraId="7C9E921D" w14:textId="5D4C2D56" w:rsidR="000829B2" w:rsidRPr="000829B2" w:rsidRDefault="000829B2" w:rsidP="000829B2">
      <w:pPr>
        <w:tabs>
          <w:tab w:val="left" w:pos="4595"/>
        </w:tabs>
        <w:rPr>
          <w:sz w:val="14"/>
          <w:szCs w:val="14"/>
        </w:rPr>
      </w:pPr>
    </w:p>
    <w:sectPr w:rsidR="000829B2" w:rsidRPr="000829B2" w:rsidSect="009C5E3B">
      <w:footerReference w:type="first" r:id="rId10"/>
      <w:footnotePr>
        <w:numFmt w:val="lowerRoman"/>
      </w:footnotePr>
      <w:pgSz w:w="11900" w:h="16840" w:code="9"/>
      <w:pgMar w:top="851" w:right="851" w:bottom="851" w:left="851" w:header="567" w:footer="567"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317AA" w14:textId="77777777" w:rsidR="00253E39" w:rsidRDefault="00253E39">
      <w:r>
        <w:separator/>
      </w:r>
    </w:p>
  </w:endnote>
  <w:endnote w:type="continuationSeparator" w:id="0">
    <w:p w14:paraId="633EDD58" w14:textId="77777777" w:rsidR="00253E39" w:rsidRDefault="00253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7D207" w14:textId="77777777" w:rsidR="009C5E3B" w:rsidRPr="00E23345" w:rsidRDefault="009C5E3B" w:rsidP="009C5E3B">
    <w:pPr>
      <w:tabs>
        <w:tab w:val="right" w:pos="10198"/>
      </w:tabs>
      <w:spacing w:before="120"/>
      <w:rPr>
        <w:sz w:val="16"/>
        <w:szCs w:val="16"/>
      </w:rPr>
    </w:pPr>
    <w:r w:rsidRPr="00E23345">
      <w:rPr>
        <w:i/>
        <w:sz w:val="16"/>
        <w:szCs w:val="16"/>
        <w:lang w:bidi="lv-LV"/>
      </w:rPr>
      <w:t>©</w:t>
    </w:r>
    <w:r w:rsidRPr="00E23345">
      <w:rPr>
        <w:sz w:val="16"/>
        <w:szCs w:val="16"/>
        <w:lang w:bidi="lv-LV"/>
      </w:rPr>
      <w:t xml:space="preserve"> </w:t>
    </w:r>
    <w:r w:rsidRPr="00E23345">
      <w:rPr>
        <w:i/>
        <w:sz w:val="16"/>
        <w:szCs w:val="16"/>
        <w:lang w:bidi="lv-LV"/>
      </w:rPr>
      <w:t>WADA</w:t>
    </w:r>
    <w:r w:rsidRPr="00E23345">
      <w:rPr>
        <w:sz w:val="16"/>
        <w:szCs w:val="16"/>
        <w:lang w:bidi="lv-LV"/>
      </w:rPr>
      <w:t> – Pasaules Antidopinga programma</w:t>
    </w:r>
    <w:r w:rsidRPr="00E23345">
      <w:rPr>
        <w:sz w:val="16"/>
        <w:szCs w:val="16"/>
        <w:lang w:bidi="lv-LV"/>
      </w:rPr>
      <w:tab/>
      <w:t>Lappuse 1/1</w:t>
    </w:r>
  </w:p>
  <w:p w14:paraId="6AD64DA9" w14:textId="691B6A04" w:rsidR="009C5E3B" w:rsidRPr="009C5E3B" w:rsidRDefault="009C5E3B" w:rsidP="009C5E3B">
    <w:pPr>
      <w:rPr>
        <w:sz w:val="16"/>
        <w:szCs w:val="16"/>
      </w:rPr>
    </w:pPr>
    <w:r w:rsidRPr="00E23345">
      <w:rPr>
        <w:sz w:val="16"/>
        <w:szCs w:val="16"/>
        <w:lang w:bidi="lv-LV"/>
      </w:rPr>
      <w:t>TLA pieteikuma kontrolsaraksts – Augšanas hormona deficīts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FCD4C" w14:textId="77777777" w:rsidR="00253E39" w:rsidRDefault="00253E39"/>
  </w:footnote>
  <w:footnote w:type="continuationSeparator" w:id="0">
    <w:p w14:paraId="61BB9D6C" w14:textId="77777777" w:rsidR="00253E39" w:rsidRDefault="00253E39"/>
  </w:footnote>
  <w:footnote w:id="1">
    <w:p w14:paraId="12657C2B" w14:textId="03E74650" w:rsidR="00E23345" w:rsidRPr="00E23345" w:rsidRDefault="00E23345">
      <w:pPr>
        <w:pStyle w:val="FootnoteText"/>
        <w:rPr>
          <w:sz w:val="16"/>
          <w:szCs w:val="16"/>
        </w:rPr>
      </w:pPr>
      <w:r w:rsidRPr="00E23345">
        <w:rPr>
          <w:rStyle w:val="FootnoteReference"/>
          <w:sz w:val="16"/>
          <w:szCs w:val="16"/>
          <w:lang w:bidi="lv-LV"/>
        </w:rPr>
        <w:footnoteRef/>
      </w:r>
      <w:r w:rsidRPr="00E23345">
        <w:rPr>
          <w:sz w:val="16"/>
          <w:szCs w:val="16"/>
          <w:lang w:bidi="lv-LV"/>
        </w:rPr>
        <w:t xml:space="preserve"> Deficīts, kas sākas pieaugušā vecumā.</w:t>
      </w:r>
    </w:p>
  </w:footnote>
  <w:footnote w:id="2">
    <w:p w14:paraId="51B1D3AA" w14:textId="1DD7A50E" w:rsidR="00E23345" w:rsidRPr="00E23345" w:rsidRDefault="00E23345">
      <w:pPr>
        <w:pStyle w:val="FootnoteText"/>
        <w:rPr>
          <w:sz w:val="16"/>
          <w:szCs w:val="16"/>
        </w:rPr>
      </w:pPr>
      <w:r w:rsidRPr="00E23345">
        <w:rPr>
          <w:rStyle w:val="FootnoteReference"/>
          <w:sz w:val="16"/>
          <w:szCs w:val="16"/>
          <w:lang w:bidi="lv-LV"/>
        </w:rPr>
        <w:footnoteRef/>
      </w:r>
      <w:r w:rsidRPr="00E23345">
        <w:rPr>
          <w:sz w:val="16"/>
          <w:szCs w:val="16"/>
          <w:lang w:bidi="lv-LV"/>
        </w:rPr>
        <w:t xml:space="preserve"> Pāreja no bērna attīstības posma, t. i., kad ir beigusies lineāra augšana.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B4F2D"/>
    <w:multiLevelType w:val="hybridMultilevel"/>
    <w:tmpl w:val="54E419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6622DEC"/>
    <w:multiLevelType w:val="hybridMultilevel"/>
    <w:tmpl w:val="DF567AF0"/>
    <w:lvl w:ilvl="0" w:tplc="B67EA0DE">
      <w:numFmt w:val="bullet"/>
      <w:pStyle w:val="bulletlist"/>
      <w:lvlText w:val="•"/>
      <w:lvlJc w:val="left"/>
      <w:pPr>
        <w:ind w:left="284" w:hanging="284"/>
      </w:pPr>
      <w:rPr>
        <w:rFonts w:ascii="Arial" w:eastAsia="Microsoft Sans Serif"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99301933">
    <w:abstractNumId w:val="0"/>
  </w:num>
  <w:num w:numId="2" w16cid:durableId="1114592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81"/>
  <w:drawingGridVerticalSpacing w:val="181"/>
  <w:characterSpacingControl w:val="compressPunctuation"/>
  <w:hdrShapeDefaults>
    <o:shapedefaults v:ext="edit" spidmax="2050"/>
  </w:hdrShapeDefaults>
  <w:footnotePr>
    <w:numFmt w:val="lowerRoman"/>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8CF"/>
    <w:rsid w:val="000829B2"/>
    <w:rsid w:val="00085476"/>
    <w:rsid w:val="000D7794"/>
    <w:rsid w:val="00125BB2"/>
    <w:rsid w:val="00253E39"/>
    <w:rsid w:val="00285A10"/>
    <w:rsid w:val="00320B32"/>
    <w:rsid w:val="0033733D"/>
    <w:rsid w:val="003C6289"/>
    <w:rsid w:val="00442864"/>
    <w:rsid w:val="004F154F"/>
    <w:rsid w:val="00565036"/>
    <w:rsid w:val="0064149B"/>
    <w:rsid w:val="0069169D"/>
    <w:rsid w:val="00745291"/>
    <w:rsid w:val="00876852"/>
    <w:rsid w:val="00963C4D"/>
    <w:rsid w:val="009C5E3B"/>
    <w:rsid w:val="00A136F1"/>
    <w:rsid w:val="00A32AA0"/>
    <w:rsid w:val="00BE09C0"/>
    <w:rsid w:val="00C0723E"/>
    <w:rsid w:val="00C34AB5"/>
    <w:rsid w:val="00C548CF"/>
    <w:rsid w:val="00D92EAF"/>
    <w:rsid w:val="00E23345"/>
    <w:rsid w:val="00E4726C"/>
    <w:rsid w:val="00E47956"/>
    <w:rsid w:val="00E75288"/>
    <w:rsid w:val="00F4598C"/>
  </w:rsids>
  <m:mathPr>
    <m:mathFont m:val="Cambria Math"/>
    <m:brkBin m:val="before"/>
    <m:brkBinSub m:val="--"/>
    <m:smallFrac m:val="0"/>
    <m:dispDef/>
    <m:lMargin m:val="0"/>
    <m:rMargin m:val="0"/>
    <m:defJc m:val="centerGroup"/>
    <m:wrapIndent m:val="1440"/>
    <m:intLim m:val="subSup"/>
    <m:naryLim m:val="undOvr"/>
  </m:mathPr>
  <w:themeFontLang w:val="ru-RU"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412EC"/>
  <w15:docId w15:val="{8F0F26F9-192A-4BBD-92CC-90E2CBEEE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lv-LV"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E3B"/>
    <w:pPr>
      <w:jc w:val="both"/>
    </w:pPr>
    <w:rPr>
      <w:rFonts w:ascii="Arial" w:hAnsi="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Основной текст (2)_"/>
    <w:basedOn w:val="DefaultParagraphFont"/>
    <w:link w:val="20"/>
    <w:rPr>
      <w:rFonts w:ascii="Arial" w:eastAsia="Arial" w:hAnsi="Arial" w:cs="Arial"/>
      <w:b/>
      <w:bCs/>
      <w:i w:val="0"/>
      <w:iCs w:val="0"/>
      <w:smallCaps w:val="0"/>
      <w:strike w:val="0"/>
      <w:sz w:val="20"/>
      <w:szCs w:val="20"/>
      <w:u w:val="none"/>
    </w:rPr>
  </w:style>
  <w:style w:type="character" w:customStyle="1" w:styleId="a">
    <w:name w:val="Другое_"/>
    <w:basedOn w:val="DefaultParagraphFont"/>
    <w:link w:val="a0"/>
    <w:rPr>
      <w:rFonts w:ascii="Arial" w:eastAsia="Arial" w:hAnsi="Arial" w:cs="Arial"/>
      <w:b w:val="0"/>
      <w:bCs w:val="0"/>
      <w:i w:val="0"/>
      <w:iCs w:val="0"/>
      <w:smallCaps w:val="0"/>
      <w:strike w:val="0"/>
      <w:sz w:val="20"/>
      <w:szCs w:val="20"/>
      <w:u w:val="none"/>
    </w:rPr>
  </w:style>
  <w:style w:type="character" w:customStyle="1" w:styleId="a1">
    <w:name w:val="Основной текст_"/>
    <w:basedOn w:val="DefaultParagraphFont"/>
    <w:link w:val="1"/>
    <w:rPr>
      <w:rFonts w:ascii="Arial" w:eastAsia="Arial" w:hAnsi="Arial" w:cs="Arial"/>
      <w:b w:val="0"/>
      <w:bCs w:val="0"/>
      <w:i w:val="0"/>
      <w:iCs w:val="0"/>
      <w:smallCaps w:val="0"/>
      <w:strike w:val="0"/>
      <w:sz w:val="15"/>
      <w:szCs w:val="15"/>
      <w:u w:val="none"/>
    </w:rPr>
  </w:style>
  <w:style w:type="paragraph" w:customStyle="1" w:styleId="20">
    <w:name w:val="Основной текст (2)"/>
    <w:basedOn w:val="Normal"/>
    <w:link w:val="2"/>
    <w:pPr>
      <w:spacing w:after="190"/>
      <w:jc w:val="center"/>
    </w:pPr>
    <w:rPr>
      <w:rFonts w:eastAsia="Arial" w:cs="Arial"/>
      <w:b/>
      <w:bCs/>
      <w:sz w:val="20"/>
      <w:szCs w:val="20"/>
    </w:rPr>
  </w:style>
  <w:style w:type="paragraph" w:customStyle="1" w:styleId="a0">
    <w:name w:val="Другое"/>
    <w:basedOn w:val="Normal"/>
    <w:link w:val="a"/>
    <w:rPr>
      <w:rFonts w:eastAsia="Arial" w:cs="Arial"/>
      <w:sz w:val="20"/>
      <w:szCs w:val="20"/>
    </w:rPr>
  </w:style>
  <w:style w:type="paragraph" w:customStyle="1" w:styleId="1">
    <w:name w:val="Основной текст1"/>
    <w:basedOn w:val="Normal"/>
    <w:link w:val="a1"/>
    <w:pPr>
      <w:spacing w:after="150"/>
    </w:pPr>
    <w:rPr>
      <w:rFonts w:eastAsia="Arial" w:cs="Arial"/>
      <w:sz w:val="15"/>
      <w:szCs w:val="15"/>
    </w:rPr>
  </w:style>
  <w:style w:type="paragraph" w:styleId="Header">
    <w:name w:val="header"/>
    <w:basedOn w:val="Normal"/>
    <w:link w:val="HeaderChar"/>
    <w:uiPriority w:val="99"/>
    <w:unhideWhenUsed/>
    <w:rsid w:val="00E23345"/>
    <w:pPr>
      <w:tabs>
        <w:tab w:val="center" w:pos="4677"/>
        <w:tab w:val="right" w:pos="9355"/>
      </w:tabs>
    </w:pPr>
  </w:style>
  <w:style w:type="character" w:customStyle="1" w:styleId="HeaderChar">
    <w:name w:val="Header Char"/>
    <w:basedOn w:val="DefaultParagraphFont"/>
    <w:link w:val="Header"/>
    <w:uiPriority w:val="99"/>
    <w:rsid w:val="00E23345"/>
    <w:rPr>
      <w:rFonts w:ascii="Arial" w:hAnsi="Arial"/>
      <w:color w:val="000000"/>
      <w:sz w:val="22"/>
    </w:rPr>
  </w:style>
  <w:style w:type="paragraph" w:styleId="Footer">
    <w:name w:val="footer"/>
    <w:basedOn w:val="Normal"/>
    <w:link w:val="FooterChar"/>
    <w:uiPriority w:val="99"/>
    <w:unhideWhenUsed/>
    <w:rsid w:val="00E23345"/>
    <w:pPr>
      <w:tabs>
        <w:tab w:val="center" w:pos="4677"/>
        <w:tab w:val="right" w:pos="9355"/>
      </w:tabs>
    </w:pPr>
  </w:style>
  <w:style w:type="character" w:customStyle="1" w:styleId="FooterChar">
    <w:name w:val="Footer Char"/>
    <w:basedOn w:val="DefaultParagraphFont"/>
    <w:link w:val="Footer"/>
    <w:uiPriority w:val="99"/>
    <w:rsid w:val="00E23345"/>
    <w:rPr>
      <w:rFonts w:ascii="Arial" w:hAnsi="Arial"/>
      <w:color w:val="000000"/>
      <w:sz w:val="22"/>
    </w:rPr>
  </w:style>
  <w:style w:type="paragraph" w:styleId="ListParagraph">
    <w:name w:val="List Paragraph"/>
    <w:basedOn w:val="Normal"/>
    <w:link w:val="ListParagraphChar"/>
    <w:uiPriority w:val="34"/>
    <w:qFormat/>
    <w:rsid w:val="00E23345"/>
    <w:pPr>
      <w:ind w:left="720"/>
      <w:contextualSpacing/>
    </w:pPr>
  </w:style>
  <w:style w:type="paragraph" w:customStyle="1" w:styleId="bulletlist">
    <w:name w:val="bullet list"/>
    <w:basedOn w:val="ListParagraph"/>
    <w:link w:val="bulletlist0"/>
    <w:qFormat/>
    <w:rsid w:val="00E23345"/>
    <w:pPr>
      <w:numPr>
        <w:numId w:val="2"/>
      </w:numPr>
    </w:pPr>
    <w:rPr>
      <w:rFonts w:cs="Arial"/>
      <w:szCs w:val="22"/>
    </w:rPr>
  </w:style>
  <w:style w:type="paragraph" w:styleId="FootnoteText">
    <w:name w:val="footnote text"/>
    <w:basedOn w:val="Normal"/>
    <w:link w:val="FootnoteTextChar"/>
    <w:uiPriority w:val="99"/>
    <w:semiHidden/>
    <w:unhideWhenUsed/>
    <w:rsid w:val="00E23345"/>
    <w:rPr>
      <w:sz w:val="20"/>
      <w:szCs w:val="20"/>
    </w:rPr>
  </w:style>
  <w:style w:type="character" w:customStyle="1" w:styleId="ListParagraphChar">
    <w:name w:val="List Paragraph Char"/>
    <w:basedOn w:val="DefaultParagraphFont"/>
    <w:link w:val="ListParagraph"/>
    <w:uiPriority w:val="34"/>
    <w:rsid w:val="00E23345"/>
    <w:rPr>
      <w:rFonts w:ascii="Arial" w:hAnsi="Arial"/>
      <w:color w:val="000000"/>
      <w:sz w:val="22"/>
    </w:rPr>
  </w:style>
  <w:style w:type="character" w:customStyle="1" w:styleId="bulletlist0">
    <w:name w:val="bullet list Знак"/>
    <w:basedOn w:val="ListParagraphChar"/>
    <w:link w:val="bulletlist"/>
    <w:rsid w:val="00E23345"/>
    <w:rPr>
      <w:rFonts w:ascii="Arial" w:hAnsi="Arial" w:cs="Arial"/>
      <w:color w:val="000000"/>
      <w:sz w:val="22"/>
      <w:szCs w:val="22"/>
    </w:rPr>
  </w:style>
  <w:style w:type="character" w:customStyle="1" w:styleId="FootnoteTextChar">
    <w:name w:val="Footnote Text Char"/>
    <w:basedOn w:val="DefaultParagraphFont"/>
    <w:link w:val="FootnoteText"/>
    <w:uiPriority w:val="99"/>
    <w:semiHidden/>
    <w:rsid w:val="00E23345"/>
    <w:rPr>
      <w:rFonts w:ascii="Arial" w:hAnsi="Arial"/>
      <w:color w:val="000000"/>
      <w:sz w:val="20"/>
      <w:szCs w:val="20"/>
    </w:rPr>
  </w:style>
  <w:style w:type="character" w:styleId="FootnoteReference">
    <w:name w:val="footnote reference"/>
    <w:basedOn w:val="DefaultParagraphFont"/>
    <w:uiPriority w:val="99"/>
    <w:semiHidden/>
    <w:unhideWhenUsed/>
    <w:rsid w:val="00E233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2C893-7AE9-4B6D-AF95-C33178A6D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2178</Words>
  <Characters>1242</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Grimm</dc:creator>
  <cp:keywords/>
  <cp:lastModifiedBy>Ieva Pauniņa</cp:lastModifiedBy>
  <cp:revision>19</cp:revision>
  <dcterms:created xsi:type="dcterms:W3CDTF">2026-01-15T11:37:00Z</dcterms:created>
  <dcterms:modified xsi:type="dcterms:W3CDTF">2026-01-27T08:49:00Z</dcterms:modified>
</cp:coreProperties>
</file>