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710C" w14:textId="77777777" w:rsidR="00D54BB7" w:rsidRPr="00D54BB7" w:rsidRDefault="00D54BB7" w:rsidP="00D54BB7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066"/>
        <w:gridCol w:w="3348"/>
        <w:gridCol w:w="1523"/>
        <w:gridCol w:w="2191"/>
      </w:tblGrid>
      <w:tr w:rsidR="00D54BB7" w:rsidRPr="00D54BB7" w14:paraId="3B9DC1F9" w14:textId="77777777" w:rsidTr="00304A37">
        <w:trPr>
          <w:trHeight w:hRule="exact" w:val="2113"/>
        </w:trPr>
        <w:tc>
          <w:tcPr>
            <w:tcW w:w="1132" w:type="pct"/>
            <w:tcBorders>
              <w:bottom w:val="single" w:sz="4" w:space="0" w:color="auto"/>
            </w:tcBorders>
          </w:tcPr>
          <w:p w14:paraId="237CCACE" w14:textId="77777777" w:rsidR="00D54BB7" w:rsidRPr="00D54BB7" w:rsidRDefault="00D54BB7" w:rsidP="00304A37">
            <w:pPr>
              <w:pStyle w:val="TableParagraph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D54BB7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A66A70F" wp14:editId="4F23F2D1">
                  <wp:extent cx="1267002" cy="609685"/>
                  <wp:effectExtent l="0" t="0" r="9525" b="0"/>
                  <wp:docPr id="1" name="Picture 1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 with low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CF49E" w14:textId="77777777" w:rsidR="00D54BB7" w:rsidRPr="00D54BB7" w:rsidRDefault="00D54BB7" w:rsidP="00304A37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PASAULES ANTIDOPINGA AĢENTŪRA</w:t>
            </w:r>
          </w:p>
          <w:p w14:paraId="25C0F238" w14:textId="77777777" w:rsidR="00D54BB7" w:rsidRPr="00D54BB7" w:rsidRDefault="00D54BB7" w:rsidP="00304A37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Godīga spēle</w:t>
            </w:r>
          </w:p>
        </w:tc>
        <w:tc>
          <w:tcPr>
            <w:tcW w:w="3868" w:type="pct"/>
            <w:gridSpan w:val="3"/>
            <w:tcBorders>
              <w:bottom w:val="single" w:sz="4" w:space="0" w:color="auto"/>
            </w:tcBorders>
            <w:vAlign w:val="bottom"/>
          </w:tcPr>
          <w:p w14:paraId="7619173F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i/>
                <w:noProof/>
                <w:sz w:val="24"/>
                <w:lang w:val="en-US"/>
              </w:rPr>
              <w:t>WADA</w:t>
            </w: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 xml:space="preserve"> tehniskais dokuments – TD2022MRPL</w:t>
            </w:r>
          </w:p>
        </w:tc>
      </w:tr>
      <w:tr w:rsidR="00D54BB7" w:rsidRPr="00D54BB7" w14:paraId="510781ED" w14:textId="77777777" w:rsidTr="00304A37">
        <w:trPr>
          <w:trHeight w:hRule="exact" w:val="336"/>
        </w:trPr>
        <w:tc>
          <w:tcPr>
            <w:tcW w:w="1132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517D" w14:textId="77777777" w:rsidR="00D54BB7" w:rsidRPr="00D54BB7" w:rsidRDefault="00D54BB7" w:rsidP="00304A37">
            <w:pPr>
              <w:pStyle w:val="TableParagraph"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D54BB7">
              <w:rPr>
                <w:rFonts w:ascii="Times New Roman" w:hAnsi="Times New Roman"/>
                <w:noProof/>
                <w:lang w:val="en-US"/>
              </w:rPr>
              <w:t>Dokumenta numurs: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DEEB2" w14:textId="77777777" w:rsidR="00D54BB7" w:rsidRPr="00D54BB7" w:rsidRDefault="00D54BB7" w:rsidP="00304A37">
            <w:pPr>
              <w:pStyle w:val="TableParagraph"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D54BB7">
              <w:rPr>
                <w:rFonts w:ascii="Times New Roman" w:hAnsi="Times New Roman"/>
                <w:noProof/>
                <w:lang w:val="en-US"/>
              </w:rPr>
              <w:t>TD2022MRPL.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AE4AD" w14:textId="77777777" w:rsidR="00D54BB7" w:rsidRPr="00D54BB7" w:rsidRDefault="00D54BB7" w:rsidP="00304A37">
            <w:pPr>
              <w:pStyle w:val="TableParagraph"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D54BB7">
              <w:rPr>
                <w:rFonts w:ascii="Times New Roman" w:hAnsi="Times New Roman"/>
                <w:noProof/>
                <w:lang w:val="en-US"/>
              </w:rPr>
              <w:t>Versijas numurs: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39BAA" w14:textId="77777777" w:rsidR="00D54BB7" w:rsidRPr="00D54BB7" w:rsidRDefault="00D54BB7" w:rsidP="00304A37">
            <w:pPr>
              <w:pStyle w:val="TableParagraph"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D54BB7">
              <w:rPr>
                <w:rFonts w:ascii="Times New Roman" w:hAnsi="Times New Roman"/>
                <w:noProof/>
                <w:lang w:val="en-US"/>
              </w:rPr>
              <w:t>1.1</w:t>
            </w:r>
          </w:p>
        </w:tc>
      </w:tr>
      <w:tr w:rsidR="00D54BB7" w:rsidRPr="00D54BB7" w14:paraId="05F4AD61" w14:textId="77777777" w:rsidTr="00304A37">
        <w:trPr>
          <w:trHeight w:hRule="exact" w:val="1166"/>
        </w:trPr>
        <w:tc>
          <w:tcPr>
            <w:tcW w:w="11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051A5" w14:textId="77777777" w:rsidR="00D54BB7" w:rsidRPr="00D54BB7" w:rsidRDefault="00D54BB7" w:rsidP="00304A37">
            <w:pPr>
              <w:pStyle w:val="TableParagraph"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D54BB7">
              <w:rPr>
                <w:rFonts w:ascii="Times New Roman" w:hAnsi="Times New Roman"/>
                <w:noProof/>
                <w:lang w:val="en-US"/>
              </w:rPr>
              <w:t>Sarakstījuši: Pārskatījusi:</w:t>
            </w:r>
          </w:p>
        </w:tc>
        <w:tc>
          <w:tcPr>
            <w:tcW w:w="1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8DF24" w14:textId="77777777" w:rsidR="00D54BB7" w:rsidRPr="00D54BB7" w:rsidRDefault="00D54BB7" w:rsidP="00304A37">
            <w:pPr>
              <w:pStyle w:val="TableParagraph"/>
              <w:jc w:val="both"/>
              <w:rPr>
                <w:rFonts w:ascii="Times New Roman" w:eastAsia="Arial" w:hAnsi="Times New Roman" w:cs="Times New Roman"/>
                <w:noProof/>
                <w:lang w:val="en-US"/>
              </w:rPr>
            </w:pPr>
            <w:r w:rsidRPr="00D54BB7">
              <w:rPr>
                <w:rFonts w:ascii="Times New Roman" w:hAnsi="Times New Roman"/>
                <w:i/>
                <w:iCs/>
                <w:noProof/>
                <w:lang w:val="en-US"/>
              </w:rPr>
              <w:t xml:space="preserve">WADA </w:t>
            </w:r>
            <w:r w:rsidRPr="00D54BB7">
              <w:rPr>
                <w:rFonts w:ascii="Times New Roman" w:hAnsi="Times New Roman"/>
                <w:noProof/>
                <w:lang w:val="en-US"/>
              </w:rPr>
              <w:t xml:space="preserve">zinātnes departaments / </w:t>
            </w:r>
            <w:r w:rsidRPr="00D54BB7">
              <w:rPr>
                <w:rFonts w:ascii="Times New Roman" w:hAnsi="Times New Roman"/>
                <w:i/>
                <w:iCs/>
                <w:noProof/>
                <w:u w:val="single" w:color="000000"/>
                <w:lang w:val="en-US"/>
              </w:rPr>
              <w:t xml:space="preserve">MRPL </w:t>
            </w:r>
            <w:r w:rsidRPr="00D54BB7">
              <w:rPr>
                <w:rFonts w:ascii="Times New Roman" w:hAnsi="Times New Roman"/>
                <w:noProof/>
                <w:lang w:val="en-US"/>
              </w:rPr>
              <w:t>darba grupa</w:t>
            </w:r>
          </w:p>
          <w:p w14:paraId="76352464" w14:textId="77777777" w:rsidR="00D54BB7" w:rsidRPr="00D54BB7" w:rsidRDefault="00D54BB7" w:rsidP="00304A37">
            <w:pPr>
              <w:pStyle w:val="TableParagraph"/>
              <w:jc w:val="both"/>
              <w:rPr>
                <w:rFonts w:ascii="Times New Roman" w:eastAsia="Arial" w:hAnsi="Times New Roman" w:cs="Times New Roman"/>
                <w:noProof/>
                <w:lang w:val="en-US"/>
              </w:rPr>
            </w:pPr>
            <w:r w:rsidRPr="00D54BB7">
              <w:rPr>
                <w:rFonts w:ascii="Times New Roman" w:hAnsi="Times New Roman"/>
                <w:i/>
                <w:noProof/>
                <w:lang w:val="en-US"/>
              </w:rPr>
              <w:t xml:space="preserve">WADA </w:t>
            </w:r>
            <w:r w:rsidRPr="00D54BB7">
              <w:rPr>
                <w:rFonts w:ascii="Times New Roman" w:hAnsi="Times New Roman"/>
                <w:noProof/>
                <w:u w:val="single"/>
                <w:lang w:val="en-US"/>
              </w:rPr>
              <w:t>Laboratoriju ekspertu konsultatīvā grupa</w:t>
            </w:r>
          </w:p>
        </w:tc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218FF" w14:textId="77777777" w:rsidR="00D54BB7" w:rsidRPr="00D54BB7" w:rsidRDefault="00D54BB7" w:rsidP="00304A37">
            <w:pPr>
              <w:pStyle w:val="TableParagraph"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D54BB7">
              <w:rPr>
                <w:rFonts w:ascii="Times New Roman" w:hAnsi="Times New Roman"/>
                <w:noProof/>
                <w:lang w:val="en-US"/>
              </w:rPr>
              <w:t>Apstiprinājusi:</w:t>
            </w:r>
          </w:p>
        </w:tc>
        <w:tc>
          <w:tcPr>
            <w:tcW w:w="1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5D478" w14:textId="77777777" w:rsidR="00D54BB7" w:rsidRPr="00D54BB7" w:rsidRDefault="00D54BB7" w:rsidP="00304A37">
            <w:pPr>
              <w:pStyle w:val="TableParagraph"/>
              <w:jc w:val="both"/>
              <w:rPr>
                <w:rFonts w:ascii="Times New Roman" w:eastAsia="Arial" w:hAnsi="Times New Roman" w:cs="Times New Roman"/>
                <w:noProof/>
                <w:lang w:val="en-US"/>
              </w:rPr>
            </w:pPr>
            <w:r w:rsidRPr="00D54BB7">
              <w:rPr>
                <w:rFonts w:ascii="Times New Roman" w:hAnsi="Times New Roman"/>
                <w:i/>
                <w:noProof/>
                <w:lang w:val="en-US"/>
              </w:rPr>
              <w:t>WADA</w:t>
            </w:r>
            <w:r w:rsidRPr="00D54BB7">
              <w:rPr>
                <w:rFonts w:ascii="Times New Roman" w:hAnsi="Times New Roman"/>
                <w:noProof/>
                <w:lang w:val="en-US"/>
              </w:rPr>
              <w:t xml:space="preserve"> izpildkomiteja</w:t>
            </w:r>
          </w:p>
        </w:tc>
      </w:tr>
      <w:tr w:rsidR="00D54BB7" w:rsidRPr="00D54BB7" w14:paraId="5E4717C7" w14:textId="77777777" w:rsidTr="00304A37">
        <w:trPr>
          <w:trHeight w:hRule="exact" w:val="338"/>
        </w:trPr>
        <w:tc>
          <w:tcPr>
            <w:tcW w:w="11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C150B" w14:textId="77777777" w:rsidR="00D54BB7" w:rsidRPr="00D54BB7" w:rsidRDefault="00D54BB7" w:rsidP="00304A37">
            <w:pPr>
              <w:pStyle w:val="TableParagraph"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D54BB7">
              <w:rPr>
                <w:rFonts w:ascii="Times New Roman" w:hAnsi="Times New Roman"/>
                <w:noProof/>
                <w:lang w:val="en-US"/>
              </w:rPr>
              <w:t>Datums:</w:t>
            </w:r>
          </w:p>
        </w:tc>
        <w:tc>
          <w:tcPr>
            <w:tcW w:w="1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00050" w14:textId="77777777" w:rsidR="00D54BB7" w:rsidRPr="00D54BB7" w:rsidRDefault="00D54BB7" w:rsidP="00304A37">
            <w:pPr>
              <w:pStyle w:val="TableParagraph"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D54BB7">
              <w:rPr>
                <w:rFonts w:ascii="Times New Roman" w:hAnsi="Times New Roman"/>
                <w:noProof/>
                <w:lang w:val="en-US"/>
              </w:rPr>
              <w:t>2021. gada 24. novembris</w:t>
            </w:r>
          </w:p>
        </w:tc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8FB8B" w14:textId="77777777" w:rsidR="00D54BB7" w:rsidRPr="00D54BB7" w:rsidRDefault="00D54BB7" w:rsidP="00304A37">
            <w:pPr>
              <w:pStyle w:val="TableParagraph"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D54BB7">
              <w:rPr>
                <w:rFonts w:ascii="Times New Roman" w:hAnsi="Times New Roman"/>
                <w:noProof/>
                <w:lang w:val="en-US"/>
              </w:rPr>
              <w:t>Spēkā stāšanās diena:</w:t>
            </w:r>
          </w:p>
        </w:tc>
        <w:tc>
          <w:tcPr>
            <w:tcW w:w="1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6CE5A" w14:textId="77777777" w:rsidR="00D54BB7" w:rsidRPr="00D54BB7" w:rsidRDefault="00D54BB7" w:rsidP="00304A37">
            <w:pPr>
              <w:pStyle w:val="TableParagraph"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D54BB7">
              <w:rPr>
                <w:rFonts w:ascii="Times New Roman" w:hAnsi="Times New Roman"/>
                <w:noProof/>
                <w:lang w:val="en-US"/>
              </w:rPr>
              <w:t>2022. gada 1. janvāris</w:t>
            </w:r>
          </w:p>
        </w:tc>
      </w:tr>
    </w:tbl>
    <w:p w14:paraId="68681943" w14:textId="77777777" w:rsidR="00D54BB7" w:rsidRPr="00D54BB7" w:rsidRDefault="00D54BB7" w:rsidP="00D54BB7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C9E15B9" w14:textId="77777777" w:rsidR="00D54BB7" w:rsidRPr="00D54BB7" w:rsidRDefault="00D54BB7" w:rsidP="00D54BB7">
      <w:pPr>
        <w:pStyle w:val="Heading1"/>
        <w:ind w:left="0" w:firstLine="0"/>
        <w:jc w:val="center"/>
        <w:rPr>
          <w:rFonts w:ascii="Times New Roman" w:hAnsi="Times New Roman" w:cs="Times New Roman"/>
          <w:b w:val="0"/>
          <w:bCs w:val="0"/>
          <w:noProof/>
          <w:u w:val="none"/>
          <w:lang w:val="en-US"/>
        </w:rPr>
      </w:pPr>
      <w:r w:rsidRPr="00D54BB7">
        <w:rPr>
          <w:rFonts w:ascii="Times New Roman" w:hAnsi="Times New Roman"/>
          <w:noProof/>
          <w:u w:val="thick" w:color="000000"/>
          <w:lang w:val="en-US"/>
        </w:rPr>
        <w:t xml:space="preserve">MINIMĀLIE PRASĪTIE VEIKTSPĒJAS LĪMEŅI </w:t>
      </w:r>
      <w:r w:rsidRPr="00D54BB7">
        <w:rPr>
          <w:rFonts w:ascii="Times New Roman" w:hAnsi="Times New Roman"/>
          <w:noProof/>
          <w:u w:val="none"/>
          <w:lang w:val="en-US"/>
        </w:rPr>
        <w:t xml:space="preserve">UN PIEMĒROJAMIE </w:t>
      </w:r>
      <w:r w:rsidRPr="00D54BB7">
        <w:rPr>
          <w:rFonts w:ascii="Times New Roman" w:hAnsi="Times New Roman"/>
          <w:i/>
          <w:iCs/>
          <w:noProof/>
          <w:u w:val="none"/>
          <w:lang w:val="en-US"/>
        </w:rPr>
        <w:t xml:space="preserve">MINIMĀLIE ZIŅOŠANAS LĪMEŅI </w:t>
      </w:r>
      <w:r w:rsidRPr="00D54BB7">
        <w:rPr>
          <w:rFonts w:ascii="Times New Roman" w:hAnsi="Times New Roman"/>
          <w:noProof/>
          <w:u w:val="none"/>
          <w:lang w:val="en-US"/>
        </w:rPr>
        <w:t xml:space="preserve">ATTIECĪBĀ UZ </w:t>
      </w:r>
      <w:r w:rsidRPr="00D54BB7">
        <w:rPr>
          <w:rFonts w:ascii="Times New Roman" w:hAnsi="Times New Roman"/>
          <w:noProof/>
          <w:u w:val="thick" w:color="000000"/>
          <w:lang w:val="en-US"/>
        </w:rPr>
        <w:t xml:space="preserve">VIELĀM, KAS NAV SLIEKŠŅA VIELAS </w:t>
      </w:r>
      <w:r w:rsidRPr="00D54BB7">
        <w:rPr>
          <w:rFonts w:ascii="Times New Roman" w:hAnsi="Times New Roman"/>
          <w:noProof/>
          <w:u w:val="none"/>
          <w:lang w:val="en-US"/>
        </w:rPr>
        <w:t xml:space="preserve">UN KURAS ANALIZĒTAS AR HROMATOGRĀFIJAS MASSPEKTROMETRIJAS </w:t>
      </w:r>
      <w:r w:rsidRPr="00D54BB7">
        <w:rPr>
          <w:rFonts w:ascii="Times New Roman" w:hAnsi="Times New Roman"/>
          <w:noProof/>
          <w:u w:val="thick" w:color="000000"/>
          <w:lang w:val="en-US"/>
        </w:rPr>
        <w:t>ANALĪTISKAJĀM METODĒM</w:t>
      </w:r>
    </w:p>
    <w:p w14:paraId="57B45A1C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b/>
          <w:bCs/>
          <w:noProof/>
          <w:sz w:val="24"/>
          <w:szCs w:val="24"/>
          <w:lang w:val="en-US"/>
        </w:rPr>
      </w:pPr>
    </w:p>
    <w:p w14:paraId="3CF1C069" w14:textId="77777777" w:rsidR="00D54BB7" w:rsidRPr="00D54BB7" w:rsidRDefault="00D54BB7" w:rsidP="00D54BB7">
      <w:pPr>
        <w:pStyle w:val="BodyText"/>
        <w:rPr>
          <w:lang w:val="en-US"/>
        </w:rPr>
      </w:pPr>
      <w:r w:rsidRPr="00D54BB7">
        <w:rPr>
          <w:lang w:val="en-US"/>
        </w:rPr>
        <w:t xml:space="preserve">Lai nodrošinātu, ka visas </w:t>
      </w:r>
      <w:r w:rsidRPr="00D54BB7">
        <w:rPr>
          <w:u w:val="single"/>
          <w:lang w:val="en-US"/>
        </w:rPr>
        <w:t>laboratorijas</w:t>
      </w:r>
      <w:r w:rsidRPr="00D54BB7">
        <w:rPr>
          <w:lang w:val="en-US"/>
        </w:rPr>
        <w:t xml:space="preserve">, izmantojot hromatogrāfijas masspektrometrijas </w:t>
      </w:r>
      <w:r w:rsidRPr="00D54BB7">
        <w:rPr>
          <w:u w:val="single"/>
          <w:lang w:val="en-US"/>
        </w:rPr>
        <w:t>analītiskās metodes</w:t>
      </w:r>
      <w:r w:rsidRPr="00D54BB7">
        <w:rPr>
          <w:lang w:val="en-US"/>
        </w:rPr>
        <w:t xml:space="preserve">, var vienveidīgi noteikt aizliegtu </w:t>
      </w:r>
      <w:r w:rsidRPr="00D54BB7">
        <w:rPr>
          <w:u w:val="single"/>
          <w:lang w:val="en-US"/>
        </w:rPr>
        <w:t>vielu, kas nav sliekšņa vielas</w:t>
      </w:r>
      <w:r w:rsidRPr="00D54BB7">
        <w:rPr>
          <w:lang w:val="en-US"/>
        </w:rPr>
        <w:t xml:space="preserve">, klātbūtni un ziņot par to, ir noteikta minimālā pieņemtā noteikšanas un identifikācijas spēja, kā arī minimālās ziņošanas prasības (kuras piemēro konkrētām </w:t>
      </w:r>
      <w:r w:rsidRPr="00D54BB7">
        <w:rPr>
          <w:u w:val="single"/>
          <w:lang w:val="en-US"/>
        </w:rPr>
        <w:t>vielu, kas nav sliekšņa vielas</w:t>
      </w:r>
      <w:r w:rsidRPr="00D54BB7">
        <w:rPr>
          <w:lang w:val="en-US"/>
        </w:rPr>
        <w:t>, klasēm vai dažām konkrētām šādām vielām).</w:t>
      </w:r>
    </w:p>
    <w:p w14:paraId="216F46A0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14:paraId="44F530BB" w14:textId="77777777" w:rsidR="00D54BB7" w:rsidRPr="00D54BB7" w:rsidRDefault="00D54BB7" w:rsidP="00D54BB7">
      <w:pPr>
        <w:pStyle w:val="Heading1"/>
        <w:tabs>
          <w:tab w:val="left" w:pos="515"/>
        </w:tabs>
        <w:ind w:left="0" w:firstLine="0"/>
        <w:jc w:val="both"/>
        <w:rPr>
          <w:rFonts w:ascii="Times New Roman" w:hAnsi="Times New Roman" w:cs="Times New Roman"/>
          <w:b w:val="0"/>
          <w:bCs w:val="0"/>
          <w:noProof/>
          <w:u w:val="none"/>
          <w:lang w:val="en-US"/>
        </w:rPr>
      </w:pPr>
      <w:r w:rsidRPr="00D54BB7">
        <w:rPr>
          <w:rFonts w:ascii="Times New Roman" w:hAnsi="Times New Roman"/>
          <w:noProof/>
          <w:u w:val="none" w:color="000000"/>
          <w:lang w:val="en-US"/>
        </w:rPr>
        <w:t xml:space="preserve">1.0. </w:t>
      </w:r>
      <w:r w:rsidRPr="00D54BB7">
        <w:rPr>
          <w:rFonts w:ascii="Times New Roman" w:hAnsi="Times New Roman"/>
          <w:noProof/>
          <w:u w:val="thick" w:color="000000"/>
          <w:lang w:val="en-US"/>
        </w:rPr>
        <w:t xml:space="preserve">Minimālie prasītie veiktspējas līmeņi </w:t>
      </w:r>
      <w:r w:rsidRPr="00D54BB7">
        <w:rPr>
          <w:rFonts w:ascii="Times New Roman" w:hAnsi="Times New Roman"/>
          <w:noProof/>
          <w:u w:val="none"/>
          <w:lang w:val="en-US"/>
        </w:rPr>
        <w:t>(</w:t>
      </w:r>
      <w:r w:rsidRPr="00D54BB7">
        <w:rPr>
          <w:rFonts w:ascii="Times New Roman" w:hAnsi="Times New Roman"/>
          <w:i/>
          <w:noProof/>
          <w:u w:val="none"/>
          <w:lang w:val="en-US"/>
        </w:rPr>
        <w:t>MRPL</w:t>
      </w:r>
      <w:r w:rsidRPr="00D54BB7">
        <w:rPr>
          <w:rFonts w:ascii="Times New Roman" w:hAnsi="Times New Roman"/>
          <w:noProof/>
          <w:u w:val="none"/>
          <w:lang w:val="en-US"/>
        </w:rPr>
        <w:t>)</w:t>
      </w:r>
    </w:p>
    <w:p w14:paraId="0D5B5027" w14:textId="77777777" w:rsidR="00D54BB7" w:rsidRPr="00D54BB7" w:rsidRDefault="00D54BB7" w:rsidP="00D54BB7">
      <w:pPr>
        <w:pStyle w:val="BodyText"/>
        <w:rPr>
          <w:lang w:val="en-US"/>
        </w:rPr>
      </w:pPr>
    </w:p>
    <w:p w14:paraId="031E8FF5" w14:textId="77777777" w:rsidR="00D54BB7" w:rsidRPr="00D54BB7" w:rsidRDefault="00D54BB7" w:rsidP="00D54BB7">
      <w:pPr>
        <w:pStyle w:val="BodyText"/>
        <w:rPr>
          <w:lang w:val="en-US"/>
        </w:rPr>
      </w:pPr>
      <w:r w:rsidRPr="00D54BB7">
        <w:rPr>
          <w:i/>
          <w:u w:val="single"/>
          <w:lang w:val="en-US"/>
        </w:rPr>
        <w:t xml:space="preserve">MRPL </w:t>
      </w:r>
      <w:r w:rsidRPr="00D54BB7">
        <w:rPr>
          <w:lang w:val="en-US"/>
        </w:rPr>
        <w:t xml:space="preserve">ir izstrādāti, lai pēc iespējas saskaņotu analītisko veiktspēju hromatogrāfijas masspektrometrijas </w:t>
      </w:r>
      <w:r w:rsidRPr="00D54BB7">
        <w:rPr>
          <w:u w:val="single"/>
          <w:lang w:val="en-US"/>
        </w:rPr>
        <w:t>analītiskajām metodēm</w:t>
      </w:r>
      <w:r w:rsidRPr="00D54BB7">
        <w:rPr>
          <w:lang w:val="en-US"/>
        </w:rPr>
        <w:t xml:space="preserve">, kuras izmanto </w:t>
      </w:r>
      <w:r w:rsidRPr="00D54BB7">
        <w:rPr>
          <w:u w:val="single"/>
          <w:lang w:val="en-US"/>
        </w:rPr>
        <w:t>vielu, kas nav sliekšņa vielas</w:t>
      </w:r>
      <w:r w:rsidRPr="00D54BB7">
        <w:rPr>
          <w:lang w:val="en-US"/>
        </w:rPr>
        <w:t xml:space="preserve">, noteikšanai. </w:t>
      </w:r>
      <w:r w:rsidRPr="00D54BB7">
        <w:rPr>
          <w:i/>
          <w:iCs/>
          <w:u w:val="single"/>
          <w:lang w:val="en-US"/>
        </w:rPr>
        <w:t xml:space="preserve">MRPL </w:t>
      </w:r>
      <w:r w:rsidRPr="00D54BB7">
        <w:rPr>
          <w:lang w:val="en-US"/>
        </w:rPr>
        <w:t xml:space="preserve">ir obligāts tehniskās veiktspējas analītiskais parametrs, kuru ieviesusi </w:t>
      </w:r>
      <w:r w:rsidRPr="00D54BB7">
        <w:rPr>
          <w:i/>
          <w:iCs/>
          <w:lang w:val="en-US"/>
        </w:rPr>
        <w:t xml:space="preserve">WADA </w:t>
      </w:r>
      <w:r w:rsidRPr="00D54BB7">
        <w:rPr>
          <w:lang w:val="en-US"/>
        </w:rPr>
        <w:t xml:space="preserve">un kurš jāievēro </w:t>
      </w:r>
      <w:r w:rsidRPr="00D54BB7">
        <w:rPr>
          <w:u w:val="single"/>
          <w:lang w:val="en-US"/>
        </w:rPr>
        <w:t>laboratorijām</w:t>
      </w:r>
      <w:r w:rsidRPr="00D54BB7">
        <w:rPr>
          <w:lang w:val="en-US"/>
        </w:rPr>
        <w:t xml:space="preserve">, pārbaudot konkrētas </w:t>
      </w:r>
      <w:r w:rsidRPr="00D54BB7">
        <w:rPr>
          <w:u w:val="single"/>
          <w:lang w:val="en-US"/>
        </w:rPr>
        <w:t>vielas, kas nav sliekšņa viela</w:t>
      </w:r>
      <w:r w:rsidRPr="00D54BB7">
        <w:rPr>
          <w:lang w:val="en-US"/>
        </w:rPr>
        <w:t xml:space="preserve">, tās </w:t>
      </w:r>
      <w:r w:rsidRPr="00D54BB7">
        <w:rPr>
          <w:i/>
          <w:iCs/>
          <w:lang w:val="en-US"/>
        </w:rPr>
        <w:t xml:space="preserve">metabolīta(-u) </w:t>
      </w:r>
      <w:r w:rsidRPr="00D54BB7">
        <w:rPr>
          <w:lang w:val="en-US"/>
        </w:rPr>
        <w:t xml:space="preserve">vai </w:t>
      </w:r>
      <w:r w:rsidRPr="00D54BB7">
        <w:rPr>
          <w:i/>
          <w:iCs/>
          <w:lang w:val="en-US"/>
        </w:rPr>
        <w:t xml:space="preserve">marķiera(-u) </w:t>
      </w:r>
      <w:r w:rsidRPr="00D54BB7">
        <w:rPr>
          <w:lang w:val="en-US"/>
        </w:rPr>
        <w:t>klātbūtni.</w:t>
      </w:r>
    </w:p>
    <w:p w14:paraId="46856ECA" w14:textId="77777777" w:rsidR="00D54BB7" w:rsidRPr="00D54BB7" w:rsidRDefault="00D54BB7" w:rsidP="00D54BB7">
      <w:pPr>
        <w:pStyle w:val="BodyText"/>
        <w:rPr>
          <w:lang w:val="en-US"/>
        </w:rPr>
      </w:pPr>
    </w:p>
    <w:p w14:paraId="07F80B7D" w14:textId="77777777" w:rsidR="00D54BB7" w:rsidRPr="00D54BB7" w:rsidRDefault="00D54BB7" w:rsidP="00D54BB7">
      <w:pPr>
        <w:pStyle w:val="BodyText"/>
        <w:rPr>
          <w:lang w:val="en-US"/>
        </w:rPr>
      </w:pPr>
      <w:r w:rsidRPr="00D54BB7">
        <w:rPr>
          <w:i/>
          <w:iCs/>
          <w:u w:val="single"/>
          <w:lang w:val="en-US"/>
        </w:rPr>
        <w:t xml:space="preserve">MRPL </w:t>
      </w:r>
      <w:r w:rsidRPr="00D54BB7">
        <w:rPr>
          <w:lang w:val="en-US"/>
        </w:rPr>
        <w:t xml:space="preserve">ir </w:t>
      </w:r>
      <w:r w:rsidRPr="00D54BB7">
        <w:rPr>
          <w:u w:val="single"/>
          <w:lang w:val="en-US"/>
        </w:rPr>
        <w:t>vielas, kas nav sliekšņa viela</w:t>
      </w:r>
      <w:r w:rsidRPr="00D54BB7">
        <w:rPr>
          <w:lang w:val="en-US"/>
        </w:rPr>
        <w:t xml:space="preserve">, vai šādas vielas </w:t>
      </w:r>
      <w:r w:rsidRPr="00D54BB7">
        <w:rPr>
          <w:i/>
          <w:iCs/>
          <w:lang w:val="en-US"/>
        </w:rPr>
        <w:t xml:space="preserve">metabolīta </w:t>
      </w:r>
      <w:r w:rsidRPr="00D54BB7">
        <w:rPr>
          <w:lang w:val="en-US"/>
        </w:rPr>
        <w:t xml:space="preserve">vai </w:t>
      </w:r>
      <w:r w:rsidRPr="00D54BB7">
        <w:rPr>
          <w:i/>
          <w:iCs/>
          <w:lang w:val="en-US"/>
        </w:rPr>
        <w:t xml:space="preserve">marķiera </w:t>
      </w:r>
      <w:r w:rsidRPr="00D54BB7">
        <w:rPr>
          <w:lang w:val="en-US"/>
        </w:rPr>
        <w:t xml:space="preserve">minimālā koncentrācija, kuru </w:t>
      </w:r>
      <w:r w:rsidRPr="00D54BB7">
        <w:rPr>
          <w:u w:val="single"/>
          <w:lang w:val="en-US"/>
        </w:rPr>
        <w:t xml:space="preserve">laboratorijas </w:t>
      </w:r>
      <w:r w:rsidRPr="00D54BB7">
        <w:rPr>
          <w:lang w:val="en-US"/>
        </w:rPr>
        <w:t>ikdienā spēj noteikt (</w:t>
      </w:r>
      <w:r w:rsidRPr="00D54BB7">
        <w:rPr>
          <w:u w:val="single"/>
          <w:lang w:val="en-US"/>
        </w:rPr>
        <w:t xml:space="preserve">sākotnējās </w:t>
      </w:r>
      <w:r w:rsidRPr="00D54BB7">
        <w:rPr>
          <w:i/>
          <w:iCs/>
          <w:u w:val="single"/>
          <w:lang w:val="en-US"/>
        </w:rPr>
        <w:t xml:space="preserve">pārbaudes </w:t>
      </w:r>
      <w:r w:rsidRPr="00D54BB7">
        <w:rPr>
          <w:u w:val="single"/>
          <w:lang w:val="en-US"/>
        </w:rPr>
        <w:t>procedūra</w:t>
      </w:r>
      <w:r w:rsidRPr="00D54BB7">
        <w:rPr>
          <w:lang w:val="en-US"/>
        </w:rPr>
        <w:t>) un identificēt (</w:t>
      </w:r>
      <w:r w:rsidRPr="00D54BB7">
        <w:rPr>
          <w:u w:val="single"/>
          <w:lang w:val="en-US"/>
        </w:rPr>
        <w:t>apstiprināšanas procedūra</w:t>
      </w:r>
      <w:r w:rsidRPr="00D54BB7">
        <w:rPr>
          <w:lang w:val="en-US"/>
        </w:rPr>
        <w:t>).</w:t>
      </w:r>
    </w:p>
    <w:p w14:paraId="51DD6532" w14:textId="77777777" w:rsidR="00D54BB7" w:rsidRPr="00D54BB7" w:rsidRDefault="00D54BB7" w:rsidP="00D54BB7">
      <w:pPr>
        <w:numPr>
          <w:ilvl w:val="2"/>
          <w:numId w:val="18"/>
        </w:numPr>
        <w:tabs>
          <w:tab w:val="left" w:pos="851"/>
        </w:tabs>
        <w:ind w:left="284" w:firstLine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i/>
          <w:noProof/>
          <w:sz w:val="24"/>
          <w:u w:val="single" w:color="000000"/>
          <w:lang w:val="en-US"/>
        </w:rPr>
        <w:t xml:space="preserve">MRPL 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nav ne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 xml:space="preserve">robežvērtība </w:t>
      </w:r>
      <w:r w:rsidRPr="00D54BB7">
        <w:rPr>
          <w:rFonts w:ascii="Times New Roman" w:hAnsi="Times New Roman"/>
          <w:noProof/>
          <w:sz w:val="24"/>
          <w:lang w:val="en-US"/>
        </w:rPr>
        <w:t>(</w:t>
      </w:r>
      <w:r w:rsidRPr="00D54BB7">
        <w:rPr>
          <w:rFonts w:ascii="Times New Roman" w:hAnsi="Times New Roman"/>
          <w:i/>
          <w:noProof/>
          <w:sz w:val="24"/>
          <w:u w:val="single" w:color="000000"/>
          <w:lang w:val="en-US"/>
        </w:rPr>
        <w:t>T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), ne arī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 xml:space="preserve">noteikšanas robeža </w:t>
      </w:r>
      <w:r w:rsidRPr="00D54BB7">
        <w:rPr>
          <w:rFonts w:ascii="Times New Roman" w:hAnsi="Times New Roman"/>
          <w:noProof/>
          <w:sz w:val="24"/>
          <w:lang w:val="en-US"/>
        </w:rPr>
        <w:t>(</w:t>
      </w:r>
      <w:r w:rsidRPr="00D54BB7">
        <w:rPr>
          <w:rFonts w:ascii="Times New Roman" w:hAnsi="Times New Roman"/>
          <w:i/>
          <w:noProof/>
          <w:sz w:val="24"/>
          <w:u w:val="single" w:color="000000"/>
          <w:lang w:val="en-US"/>
        </w:rPr>
        <w:t>LOD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). </w:t>
      </w:r>
      <w:r w:rsidRPr="00D54BB7">
        <w:rPr>
          <w:rFonts w:ascii="Times New Roman" w:hAnsi="Times New Roman"/>
          <w:i/>
          <w:iCs/>
          <w:noProof/>
          <w:sz w:val="24"/>
          <w:lang w:val="en-US"/>
        </w:rPr>
        <w:t xml:space="preserve">Nelabvēlīgus analīžu rezultātus </w:t>
      </w:r>
      <w:r w:rsidRPr="00D54BB7">
        <w:rPr>
          <w:rFonts w:ascii="Times New Roman" w:hAnsi="Times New Roman"/>
          <w:noProof/>
          <w:sz w:val="24"/>
          <w:lang w:val="en-US"/>
        </w:rPr>
        <w:t>(</w:t>
      </w:r>
      <w:r w:rsidRPr="00D54BB7">
        <w:rPr>
          <w:rFonts w:ascii="Times New Roman" w:hAnsi="Times New Roman"/>
          <w:i/>
          <w:iCs/>
          <w:noProof/>
          <w:sz w:val="24"/>
          <w:lang w:val="en-US"/>
        </w:rPr>
        <w:t>AAF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) var iegūt arī tad, ja koncentrācija ir zemāka par noteiktajām </w:t>
      </w:r>
      <w:r w:rsidRPr="00D54BB7">
        <w:rPr>
          <w:rFonts w:ascii="Times New Roman" w:hAnsi="Times New Roman"/>
          <w:i/>
          <w:iCs/>
          <w:noProof/>
          <w:sz w:val="24"/>
          <w:u w:val="single"/>
          <w:lang w:val="en-US"/>
        </w:rPr>
        <w:t xml:space="preserve">MRPL </w:t>
      </w:r>
      <w:r w:rsidRPr="00D54BB7">
        <w:rPr>
          <w:rFonts w:ascii="Times New Roman" w:hAnsi="Times New Roman"/>
          <w:noProof/>
          <w:sz w:val="24"/>
          <w:lang w:val="en-US"/>
        </w:rPr>
        <w:t>vērtībām.</w:t>
      </w:r>
    </w:p>
    <w:p w14:paraId="357FFE24" w14:textId="77777777" w:rsidR="00D54BB7" w:rsidRPr="00D54BB7" w:rsidRDefault="00D54BB7" w:rsidP="00D54BB7">
      <w:pPr>
        <w:pStyle w:val="BodyText"/>
        <w:numPr>
          <w:ilvl w:val="2"/>
          <w:numId w:val="18"/>
        </w:numPr>
        <w:tabs>
          <w:tab w:val="left" w:pos="851"/>
        </w:tabs>
        <w:ind w:left="284" w:firstLine="0"/>
        <w:rPr>
          <w:lang w:val="en-US"/>
        </w:rPr>
      </w:pPr>
      <w:r w:rsidRPr="00D54BB7">
        <w:rPr>
          <w:i/>
          <w:u w:val="single"/>
          <w:lang w:val="en-US"/>
        </w:rPr>
        <w:t xml:space="preserve">MRPL </w:t>
      </w:r>
      <w:r w:rsidRPr="00D54BB7">
        <w:rPr>
          <w:lang w:val="en-US"/>
        </w:rPr>
        <w:t xml:space="preserve">vērtības ir būtiskas </w:t>
      </w:r>
      <w:r w:rsidRPr="00D54BB7">
        <w:rPr>
          <w:u w:val="single"/>
          <w:lang w:val="en-US"/>
        </w:rPr>
        <w:t>vielu, kas nav sliekšņa vielas</w:t>
      </w:r>
      <w:r w:rsidRPr="00D54BB7">
        <w:rPr>
          <w:lang w:val="en-US"/>
        </w:rPr>
        <w:t xml:space="preserve">, noteikšanai un identificēšanai; tās nepiemēro </w:t>
      </w:r>
      <w:r w:rsidRPr="00D54BB7">
        <w:rPr>
          <w:u w:val="single"/>
          <w:lang w:val="en-US"/>
        </w:rPr>
        <w:t>sliekšņa vielām</w:t>
      </w:r>
      <w:r w:rsidRPr="00D54BB7">
        <w:rPr>
          <w:lang w:val="en-US"/>
        </w:rPr>
        <w:t xml:space="preserve">, kas aplūkotas citos </w:t>
      </w:r>
      <w:r w:rsidRPr="00D54BB7">
        <w:rPr>
          <w:i/>
          <w:lang w:val="en-US"/>
        </w:rPr>
        <w:t xml:space="preserve">tehniskajos dokumentos </w:t>
      </w:r>
      <w:r w:rsidRPr="00D54BB7">
        <w:rPr>
          <w:lang w:val="en-US"/>
        </w:rPr>
        <w:t>(</w:t>
      </w:r>
      <w:r w:rsidRPr="00D54BB7">
        <w:rPr>
          <w:i/>
          <w:lang w:val="en-US"/>
        </w:rPr>
        <w:t>TD</w:t>
      </w:r>
      <w:r w:rsidRPr="00D54BB7">
        <w:rPr>
          <w:lang w:val="en-US"/>
        </w:rPr>
        <w:t xml:space="preserve">) (piemēram, </w:t>
      </w:r>
      <w:r w:rsidRPr="00D54BB7">
        <w:rPr>
          <w:i/>
          <w:lang w:val="en-US"/>
        </w:rPr>
        <w:t>TD DL</w:t>
      </w:r>
      <w:r w:rsidRPr="00D54BB7">
        <w:rPr>
          <w:vertAlign w:val="superscript"/>
          <w:lang w:val="en-US"/>
        </w:rPr>
        <w:t>[1]</w:t>
      </w:r>
      <w:r w:rsidRPr="00D54BB7">
        <w:rPr>
          <w:lang w:val="en-US"/>
        </w:rPr>
        <w:t xml:space="preserve">, </w:t>
      </w:r>
      <w:r w:rsidRPr="00D54BB7">
        <w:rPr>
          <w:i/>
          <w:lang w:val="en-US"/>
        </w:rPr>
        <w:t>TD GH</w:t>
      </w:r>
      <w:r w:rsidRPr="00D54BB7">
        <w:rPr>
          <w:vertAlign w:val="superscript"/>
          <w:lang w:val="en-US"/>
        </w:rPr>
        <w:t>[2]</w:t>
      </w:r>
      <w:r w:rsidRPr="00D54BB7">
        <w:rPr>
          <w:lang w:val="en-US"/>
        </w:rPr>
        <w:t xml:space="preserve">, </w:t>
      </w:r>
      <w:r w:rsidRPr="00D54BB7">
        <w:rPr>
          <w:i/>
          <w:lang w:val="en-US"/>
        </w:rPr>
        <w:t>TD CG/LH</w:t>
      </w:r>
      <w:r w:rsidRPr="00D54BB7">
        <w:rPr>
          <w:vertAlign w:val="superscript"/>
          <w:lang w:val="en-US"/>
        </w:rPr>
        <w:t>[3]</w:t>
      </w:r>
      <w:r w:rsidRPr="00D54BB7">
        <w:rPr>
          <w:lang w:val="en-US"/>
        </w:rPr>
        <w:t>).</w:t>
      </w:r>
    </w:p>
    <w:p w14:paraId="0A456FCA" w14:textId="77777777" w:rsidR="00D54BB7" w:rsidRPr="00D54BB7" w:rsidRDefault="00D54BB7" w:rsidP="00D54BB7">
      <w:pPr>
        <w:pStyle w:val="BodyText"/>
        <w:numPr>
          <w:ilvl w:val="2"/>
          <w:numId w:val="18"/>
        </w:numPr>
        <w:tabs>
          <w:tab w:val="left" w:pos="851"/>
        </w:tabs>
        <w:ind w:left="284" w:firstLine="0"/>
        <w:rPr>
          <w:lang w:val="en-US"/>
        </w:rPr>
      </w:pPr>
      <w:r w:rsidRPr="00D54BB7">
        <w:rPr>
          <w:i/>
          <w:u w:val="single"/>
          <w:lang w:val="en-US"/>
        </w:rPr>
        <w:t xml:space="preserve">MRPL </w:t>
      </w:r>
      <w:r w:rsidRPr="00D54BB7">
        <w:rPr>
          <w:lang w:val="en-US"/>
        </w:rPr>
        <w:t xml:space="preserve">ir noteikti konkrētajam(-iem) </w:t>
      </w:r>
      <w:r w:rsidRPr="00D54BB7">
        <w:rPr>
          <w:u w:val="single"/>
          <w:lang w:val="en-US"/>
        </w:rPr>
        <w:t>vielu, kas nav sliekšņa vielas</w:t>
      </w:r>
      <w:r w:rsidRPr="00D54BB7">
        <w:rPr>
          <w:lang w:val="en-US"/>
        </w:rPr>
        <w:t xml:space="preserve">, mērķa </w:t>
      </w:r>
      <w:r w:rsidRPr="00D54BB7">
        <w:rPr>
          <w:u w:val="single"/>
          <w:lang w:val="en-US"/>
        </w:rPr>
        <w:t xml:space="preserve">analītam(-iem) </w:t>
      </w:r>
      <w:r w:rsidRPr="00D54BB7">
        <w:rPr>
          <w:lang w:val="en-US"/>
        </w:rPr>
        <w:t xml:space="preserve">[t. i., pašai </w:t>
      </w:r>
      <w:r w:rsidRPr="00D54BB7">
        <w:rPr>
          <w:u w:val="single"/>
          <w:lang w:val="en-US"/>
        </w:rPr>
        <w:t>vielai, kas nav sliekšņa viela</w:t>
      </w:r>
      <w:r w:rsidRPr="00D54BB7">
        <w:rPr>
          <w:lang w:val="en-US"/>
        </w:rPr>
        <w:t xml:space="preserve">, un/vai tās attiecīgajam(-iem) </w:t>
      </w:r>
      <w:r w:rsidRPr="00D54BB7">
        <w:rPr>
          <w:i/>
          <w:lang w:val="en-US"/>
        </w:rPr>
        <w:t>metabolītam(-iem)</w:t>
      </w:r>
      <w:r w:rsidRPr="00D54BB7">
        <w:rPr>
          <w:lang w:val="en-US"/>
        </w:rPr>
        <w:t xml:space="preserve">, </w:t>
      </w:r>
      <w:r w:rsidRPr="00D54BB7">
        <w:rPr>
          <w:i/>
          <w:lang w:val="en-US"/>
        </w:rPr>
        <w:t xml:space="preserve">marķierim(-iem) </w:t>
      </w:r>
      <w:r w:rsidRPr="00D54BB7">
        <w:rPr>
          <w:lang w:val="en-US"/>
        </w:rPr>
        <w:t xml:space="preserve">vai noārdīšanās produktam(-iem)] atkarībā no to metabolisma, farmakokinētikas, farmakodinamikas un/vai noturīguma </w:t>
      </w:r>
      <w:r w:rsidRPr="00D54BB7">
        <w:rPr>
          <w:i/>
          <w:lang w:val="en-US"/>
        </w:rPr>
        <w:t xml:space="preserve">parauga </w:t>
      </w:r>
      <w:r w:rsidRPr="00D54BB7">
        <w:rPr>
          <w:lang w:val="en-US"/>
        </w:rPr>
        <w:t>matricā (piemēram, urīnā).</w:t>
      </w:r>
    </w:p>
    <w:p w14:paraId="24DE6184" w14:textId="77777777" w:rsidR="00D54BB7" w:rsidRPr="00D54BB7" w:rsidRDefault="00D54BB7" w:rsidP="00D54BB7">
      <w:pPr>
        <w:pStyle w:val="BodyText"/>
        <w:numPr>
          <w:ilvl w:val="2"/>
          <w:numId w:val="18"/>
        </w:numPr>
        <w:tabs>
          <w:tab w:val="left" w:pos="851"/>
        </w:tabs>
        <w:ind w:left="284" w:firstLine="0"/>
        <w:rPr>
          <w:lang w:val="en-US"/>
        </w:rPr>
      </w:pPr>
      <w:r w:rsidRPr="00D54BB7">
        <w:rPr>
          <w:lang w:val="en-US"/>
        </w:rPr>
        <w:t xml:space="preserve">Tā kā veidā, kurā norit </w:t>
      </w:r>
      <w:r w:rsidRPr="00D54BB7">
        <w:rPr>
          <w:u w:val="single"/>
          <w:lang w:val="en-US"/>
        </w:rPr>
        <w:t>vielu, kas nav sliekšņa vielas</w:t>
      </w:r>
      <w:r w:rsidRPr="00D54BB7">
        <w:rPr>
          <w:lang w:val="en-US"/>
        </w:rPr>
        <w:t xml:space="preserve">, metabolizācija un izdalīšanās </w:t>
      </w:r>
      <w:r w:rsidRPr="00D54BB7">
        <w:rPr>
          <w:lang w:val="en-US"/>
        </w:rPr>
        <w:lastRenderedPageBreak/>
        <w:t xml:space="preserve">atkarībā no laika, kas pagājis pēc to ievadīšanas, var būt ievērojamas atšķirības, </w:t>
      </w:r>
      <w:r w:rsidRPr="00D54BB7">
        <w:rPr>
          <w:u w:val="single"/>
          <w:lang w:val="en-US"/>
        </w:rPr>
        <w:t xml:space="preserve">laboratorijām </w:t>
      </w:r>
      <w:r w:rsidRPr="00D54BB7">
        <w:rPr>
          <w:lang w:val="en-US"/>
        </w:rPr>
        <w:t xml:space="preserve">ir svarīgi attiecīgo(-os) mērķa </w:t>
      </w:r>
      <w:r w:rsidRPr="00D54BB7">
        <w:rPr>
          <w:u w:val="single"/>
          <w:lang w:val="en-US"/>
        </w:rPr>
        <w:t xml:space="preserve">analītu(-us) </w:t>
      </w:r>
      <w:r w:rsidRPr="00D54BB7">
        <w:rPr>
          <w:lang w:val="en-US"/>
        </w:rPr>
        <w:t xml:space="preserve">iekļaut savās </w:t>
      </w:r>
      <w:r w:rsidRPr="00D54BB7">
        <w:rPr>
          <w:u w:val="single"/>
          <w:lang w:val="en-US"/>
        </w:rPr>
        <w:t xml:space="preserve">analītiskajās </w:t>
      </w:r>
      <w:r w:rsidRPr="00D54BB7">
        <w:rPr>
          <w:i/>
          <w:u w:val="single" w:color="000000"/>
          <w:lang w:val="en-US"/>
        </w:rPr>
        <w:t xml:space="preserve">pārbaudes </w:t>
      </w:r>
      <w:r w:rsidRPr="00D54BB7">
        <w:rPr>
          <w:u w:val="single"/>
          <w:lang w:val="en-US"/>
        </w:rPr>
        <w:t>procedūrās</w:t>
      </w:r>
      <w:r w:rsidRPr="00D54BB7">
        <w:rPr>
          <w:lang w:val="en-US"/>
        </w:rPr>
        <w:t xml:space="preserve">, lai nodrošinātu visplašākās iespējas </w:t>
      </w:r>
      <w:r w:rsidRPr="00D54BB7">
        <w:rPr>
          <w:u w:val="single"/>
          <w:lang w:val="en-US"/>
        </w:rPr>
        <w:t>vielas, kas nav sliekšņa viela</w:t>
      </w:r>
      <w:r w:rsidRPr="00D54BB7">
        <w:rPr>
          <w:lang w:val="en-US"/>
        </w:rPr>
        <w:t>, noteikšanai.</w:t>
      </w:r>
    </w:p>
    <w:p w14:paraId="024FC339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14:paraId="49011302" w14:textId="77777777" w:rsidR="00D54BB7" w:rsidRPr="00D54BB7" w:rsidRDefault="00D54BB7" w:rsidP="00D54BB7">
      <w:pPr>
        <w:tabs>
          <w:tab w:val="left" w:pos="556"/>
        </w:tabs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b/>
          <w:bCs/>
          <w:noProof/>
          <w:sz w:val="24"/>
          <w:lang w:val="en-US"/>
        </w:rPr>
        <w:t xml:space="preserve">2.0. </w:t>
      </w:r>
      <w:r w:rsidRPr="00D54BB7">
        <w:rPr>
          <w:rFonts w:ascii="Times New Roman" w:hAnsi="Times New Roman"/>
          <w:b/>
          <w:bCs/>
          <w:i/>
          <w:iCs/>
          <w:noProof/>
          <w:sz w:val="24"/>
          <w:lang w:val="en-US"/>
        </w:rPr>
        <w:t xml:space="preserve">Minimālie ziņošanas līmeņi </w:t>
      </w:r>
      <w:r w:rsidRPr="00D54BB7">
        <w:rPr>
          <w:rFonts w:ascii="Times New Roman" w:hAnsi="Times New Roman"/>
          <w:b/>
          <w:bCs/>
          <w:noProof/>
          <w:sz w:val="24"/>
          <w:lang w:val="en-US"/>
        </w:rPr>
        <w:t>(</w:t>
      </w:r>
      <w:r w:rsidRPr="00D54BB7">
        <w:rPr>
          <w:rFonts w:ascii="Times New Roman" w:hAnsi="Times New Roman"/>
          <w:b/>
          <w:bCs/>
          <w:i/>
          <w:iCs/>
          <w:noProof/>
          <w:sz w:val="24"/>
          <w:lang w:val="en-US"/>
        </w:rPr>
        <w:t>MRL</w:t>
      </w:r>
      <w:r w:rsidRPr="00D54BB7">
        <w:rPr>
          <w:rFonts w:ascii="Times New Roman" w:hAnsi="Times New Roman"/>
          <w:b/>
          <w:bCs/>
          <w:noProof/>
          <w:sz w:val="24"/>
          <w:lang w:val="en-US"/>
        </w:rPr>
        <w:t xml:space="preserve">) 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(noteiktām </w:t>
      </w:r>
      <w:r w:rsidRPr="00D54BB7">
        <w:rPr>
          <w:rFonts w:ascii="Times New Roman" w:hAnsi="Times New Roman"/>
          <w:noProof/>
          <w:sz w:val="24"/>
          <w:u w:val="single"/>
          <w:lang w:val="en-US"/>
        </w:rPr>
        <w:t>vielu, kas nav sliekšņa vielas</w:t>
      </w:r>
      <w:r w:rsidRPr="00D54BB7">
        <w:rPr>
          <w:rFonts w:ascii="Times New Roman" w:hAnsi="Times New Roman"/>
          <w:noProof/>
          <w:sz w:val="24"/>
          <w:lang w:val="en-US"/>
        </w:rPr>
        <w:t>, klasēm vai dažām konkrētām šādām vielām)</w:t>
      </w:r>
    </w:p>
    <w:p w14:paraId="49432180" w14:textId="77777777" w:rsidR="00D54BB7" w:rsidRPr="00D54BB7" w:rsidRDefault="00D54BB7" w:rsidP="00D54BB7">
      <w:pPr>
        <w:pStyle w:val="BodyText"/>
        <w:rPr>
          <w:lang w:val="en-US"/>
        </w:rPr>
      </w:pPr>
    </w:p>
    <w:p w14:paraId="2F68F9F4" w14:textId="77777777" w:rsidR="00D54BB7" w:rsidRPr="00D54BB7" w:rsidRDefault="00D54BB7" w:rsidP="00D54BB7">
      <w:pPr>
        <w:pStyle w:val="BodyText"/>
        <w:rPr>
          <w:lang w:val="en-US"/>
        </w:rPr>
      </w:pPr>
      <w:r w:rsidRPr="00D54BB7">
        <w:rPr>
          <w:i/>
          <w:iCs/>
          <w:u w:val="single"/>
          <w:lang w:val="en-US"/>
        </w:rPr>
        <w:t xml:space="preserve">MRPL </w:t>
      </w:r>
      <w:r w:rsidRPr="00D54BB7">
        <w:rPr>
          <w:lang w:val="en-US"/>
        </w:rPr>
        <w:t xml:space="preserve">un </w:t>
      </w:r>
      <w:r w:rsidRPr="00D54BB7">
        <w:rPr>
          <w:i/>
          <w:iCs/>
          <w:lang w:val="en-US"/>
        </w:rPr>
        <w:t xml:space="preserve">MRL </w:t>
      </w:r>
      <w:r w:rsidRPr="00D54BB7">
        <w:rPr>
          <w:lang w:val="en-US"/>
        </w:rPr>
        <w:t>(ja tie ir piemērojami) paredz savstarpēji saistītas, bet atšķirīgas prasības.</w:t>
      </w:r>
    </w:p>
    <w:p w14:paraId="6949BFEF" w14:textId="77777777" w:rsidR="00D54BB7" w:rsidRPr="00D54BB7" w:rsidRDefault="00D54BB7" w:rsidP="00D54BB7">
      <w:pPr>
        <w:numPr>
          <w:ilvl w:val="2"/>
          <w:numId w:val="17"/>
        </w:numPr>
        <w:tabs>
          <w:tab w:val="left" w:pos="851"/>
        </w:tabs>
        <w:ind w:left="284" w:firstLine="0"/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i/>
          <w:iCs/>
          <w:noProof/>
          <w:sz w:val="24"/>
          <w:u w:val="single"/>
          <w:lang w:val="en-US"/>
        </w:rPr>
        <w:t xml:space="preserve">MRPL 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ir </w:t>
      </w:r>
      <w:r w:rsidRPr="00D54BB7">
        <w:rPr>
          <w:rFonts w:ascii="Times New Roman" w:hAnsi="Times New Roman"/>
          <w:b/>
          <w:bCs/>
          <w:noProof/>
          <w:sz w:val="24"/>
          <w:lang w:val="en-US"/>
        </w:rPr>
        <w:t xml:space="preserve">prasība par 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minimālo </w:t>
      </w:r>
      <w:r w:rsidRPr="00D54BB7">
        <w:rPr>
          <w:rFonts w:ascii="Times New Roman" w:hAnsi="Times New Roman"/>
          <w:b/>
          <w:bCs/>
          <w:noProof/>
          <w:sz w:val="24"/>
          <w:lang w:val="en-US"/>
        </w:rPr>
        <w:t xml:space="preserve">tehnisko veiktspēju </w:t>
      </w:r>
      <w:r w:rsidRPr="00D54BB7">
        <w:rPr>
          <w:rFonts w:ascii="Times New Roman" w:hAnsi="Times New Roman"/>
          <w:noProof/>
          <w:sz w:val="24"/>
          <w:u w:val="single"/>
          <w:lang w:val="en-US"/>
        </w:rPr>
        <w:t>vielu, kas nav sliekšņa vielas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, analīzei, un </w:t>
      </w:r>
      <w:r w:rsidRPr="00D54BB7">
        <w:rPr>
          <w:rFonts w:ascii="Times New Roman" w:hAnsi="Times New Roman"/>
          <w:i/>
          <w:iCs/>
          <w:noProof/>
          <w:sz w:val="24"/>
          <w:lang w:val="en-US"/>
        </w:rPr>
        <w:t xml:space="preserve">AAF 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drīkst paziņot par līmeņiem, kas ir zemāki par </w:t>
      </w:r>
      <w:r w:rsidRPr="00D54BB7">
        <w:rPr>
          <w:rFonts w:ascii="Times New Roman" w:hAnsi="Times New Roman"/>
          <w:i/>
          <w:iCs/>
          <w:noProof/>
          <w:sz w:val="24"/>
          <w:u w:val="single"/>
          <w:lang w:val="en-US"/>
        </w:rPr>
        <w:t>MRPL</w:t>
      </w:r>
      <w:r w:rsidRPr="00D54BB7">
        <w:rPr>
          <w:rFonts w:ascii="Times New Roman" w:hAnsi="Times New Roman"/>
          <w:noProof/>
          <w:sz w:val="24"/>
          <w:lang w:val="en-US"/>
        </w:rPr>
        <w:t>.</w:t>
      </w:r>
    </w:p>
    <w:p w14:paraId="4D5519CD" w14:textId="77777777" w:rsidR="00D54BB7" w:rsidRPr="00D54BB7" w:rsidRDefault="00D54BB7" w:rsidP="00D54BB7">
      <w:pPr>
        <w:pStyle w:val="BodyText"/>
        <w:numPr>
          <w:ilvl w:val="2"/>
          <w:numId w:val="17"/>
        </w:numPr>
        <w:tabs>
          <w:tab w:val="left" w:pos="851"/>
        </w:tabs>
        <w:ind w:left="284" w:firstLine="0"/>
        <w:rPr>
          <w:lang w:val="en-US"/>
        </w:rPr>
      </w:pPr>
      <w:r w:rsidRPr="00D54BB7">
        <w:rPr>
          <w:lang w:val="en-US"/>
        </w:rPr>
        <w:t xml:space="preserve">Turpretī </w:t>
      </w:r>
      <w:r w:rsidRPr="00D54BB7">
        <w:rPr>
          <w:i/>
          <w:lang w:val="en-US"/>
        </w:rPr>
        <w:t xml:space="preserve">MRL </w:t>
      </w:r>
      <w:r w:rsidRPr="00D54BB7">
        <w:rPr>
          <w:lang w:val="en-US"/>
        </w:rPr>
        <w:t xml:space="preserve">ir </w:t>
      </w:r>
      <w:r w:rsidRPr="00D54BB7">
        <w:rPr>
          <w:b/>
          <w:lang w:val="en-US"/>
        </w:rPr>
        <w:t>prasība par ziņošanu</w:t>
      </w:r>
      <w:r w:rsidRPr="00D54BB7">
        <w:rPr>
          <w:lang w:val="en-US"/>
        </w:rPr>
        <w:t xml:space="preserve">, kas nosaka robežvērtības līmeni, kuru noteiktām </w:t>
      </w:r>
      <w:r w:rsidRPr="00D54BB7">
        <w:rPr>
          <w:u w:val="single"/>
          <w:lang w:val="en-US"/>
        </w:rPr>
        <w:t>vielu, kas nav sliekšņa vielas</w:t>
      </w:r>
      <w:r w:rsidRPr="00D54BB7">
        <w:rPr>
          <w:lang w:val="en-US"/>
        </w:rPr>
        <w:t xml:space="preserve">, klasēm vai dažām šādām konkrētām vielām nesasniedzot, </w:t>
      </w:r>
      <w:r w:rsidRPr="00D54BB7">
        <w:rPr>
          <w:u w:val="single"/>
          <w:lang w:val="en-US"/>
        </w:rPr>
        <w:t xml:space="preserve">laboratorijas </w:t>
      </w:r>
      <w:r w:rsidRPr="00D54BB7">
        <w:rPr>
          <w:lang w:val="en-US"/>
        </w:rPr>
        <w:t xml:space="preserve">neziņo par </w:t>
      </w:r>
      <w:r w:rsidRPr="00D54BB7">
        <w:rPr>
          <w:i/>
          <w:lang w:val="en-US"/>
        </w:rPr>
        <w:t xml:space="preserve">AAF </w:t>
      </w:r>
      <w:r w:rsidRPr="00D54BB7">
        <w:rPr>
          <w:lang w:val="en-US"/>
        </w:rPr>
        <w:t>(skatīt 1. tabulu).</w:t>
      </w:r>
    </w:p>
    <w:p w14:paraId="54CBAF7A" w14:textId="77777777" w:rsidR="00D54BB7" w:rsidRPr="00D54BB7" w:rsidRDefault="00D54BB7" w:rsidP="00D54BB7">
      <w:pPr>
        <w:pStyle w:val="BodyText"/>
        <w:numPr>
          <w:ilvl w:val="2"/>
          <w:numId w:val="17"/>
        </w:numPr>
        <w:tabs>
          <w:tab w:val="left" w:pos="851"/>
        </w:tabs>
        <w:ind w:left="284" w:firstLine="0"/>
        <w:rPr>
          <w:lang w:val="en-US"/>
        </w:rPr>
      </w:pPr>
      <w:r w:rsidRPr="00D54BB7">
        <w:rPr>
          <w:i/>
          <w:lang w:val="en-US"/>
        </w:rPr>
        <w:t xml:space="preserve">MRL </w:t>
      </w:r>
      <w:r w:rsidRPr="00D54BB7">
        <w:rPr>
          <w:lang w:val="en-US"/>
        </w:rPr>
        <w:t xml:space="preserve">nosaka, lai nodrošinātu, ka </w:t>
      </w:r>
      <w:r w:rsidRPr="00D54BB7">
        <w:rPr>
          <w:u w:val="single"/>
          <w:lang w:val="en-US"/>
        </w:rPr>
        <w:t xml:space="preserve">laboratorijas </w:t>
      </w:r>
      <w:r w:rsidRPr="00D54BB7">
        <w:rPr>
          <w:lang w:val="en-US"/>
        </w:rPr>
        <w:t xml:space="preserve">ziņo saskaņoti, un tas var būt vienāds ar vai augstāks (≥), bet ne zemāks (&lt;) par </w:t>
      </w:r>
      <w:r w:rsidRPr="00D54BB7">
        <w:rPr>
          <w:i/>
          <w:u w:val="single"/>
          <w:lang w:val="en-US"/>
        </w:rPr>
        <w:t>MRPL</w:t>
      </w:r>
      <w:r w:rsidRPr="00D54BB7">
        <w:rPr>
          <w:lang w:val="en-US"/>
        </w:rPr>
        <w:t>.</w:t>
      </w:r>
    </w:p>
    <w:p w14:paraId="2517CBA4" w14:textId="77777777" w:rsidR="00D54BB7" w:rsidRPr="00D54BB7" w:rsidRDefault="00D54BB7" w:rsidP="00D54BB7">
      <w:pPr>
        <w:pStyle w:val="Heading2"/>
        <w:tabs>
          <w:tab w:val="left" w:pos="1287"/>
        </w:tabs>
        <w:ind w:left="851"/>
        <w:jc w:val="both"/>
        <w:rPr>
          <w:rFonts w:ascii="Times New Roman" w:hAnsi="Times New Roman" w:cs="Times New Roman"/>
          <w:noProof/>
          <w:lang w:val="en-US"/>
        </w:rPr>
      </w:pPr>
      <w:r w:rsidRPr="00D54BB7">
        <w:rPr>
          <w:rFonts w:ascii="Times New Roman" w:hAnsi="Times New Roman"/>
          <w:noProof/>
          <w:lang w:val="en-US"/>
        </w:rPr>
        <w:t xml:space="preserve">1) </w:t>
      </w:r>
      <w:r w:rsidRPr="00D54BB7">
        <w:rPr>
          <w:i/>
          <w:noProof/>
          <w:lang w:val="en-US"/>
        </w:rPr>
        <w:t xml:space="preserve">MRL </w:t>
      </w:r>
      <w:r w:rsidRPr="00D54BB7">
        <w:rPr>
          <w:rFonts w:ascii="Times New Roman" w:hAnsi="Times New Roman"/>
          <w:i/>
          <w:noProof/>
          <w:lang w:val="en-US"/>
        </w:rPr>
        <w:t>≥ MRPL</w:t>
      </w:r>
    </w:p>
    <w:p w14:paraId="1CEC10C5" w14:textId="77777777" w:rsidR="00D54BB7" w:rsidRPr="00D54BB7" w:rsidRDefault="00D54BB7" w:rsidP="00D54BB7">
      <w:pPr>
        <w:tabs>
          <w:tab w:val="left" w:pos="515"/>
        </w:tabs>
        <w:jc w:val="both"/>
        <w:rPr>
          <w:rFonts w:ascii="Times New Roman" w:hAnsi="Times New Roman" w:cs="Times New Roman"/>
          <w:b/>
          <w:noProof/>
          <w:sz w:val="24"/>
          <w:szCs w:val="24"/>
          <w:u w:val="thick" w:color="000000"/>
          <w:lang w:val="en-US"/>
        </w:rPr>
      </w:pPr>
    </w:p>
    <w:p w14:paraId="274C2644" w14:textId="77777777" w:rsidR="00D54BB7" w:rsidRPr="00D54BB7" w:rsidRDefault="00D54BB7" w:rsidP="00D54BB7">
      <w:pPr>
        <w:tabs>
          <w:tab w:val="left" w:pos="515"/>
        </w:tabs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b/>
          <w:noProof/>
          <w:sz w:val="24"/>
          <w:u w:color="000000"/>
          <w:lang w:val="en-US"/>
        </w:rPr>
        <w:t xml:space="preserve">2.0. </w:t>
      </w:r>
      <w:r w:rsidRPr="00D54BB7">
        <w:rPr>
          <w:rFonts w:ascii="Times New Roman" w:hAnsi="Times New Roman"/>
          <w:b/>
          <w:noProof/>
          <w:sz w:val="24"/>
          <w:u w:val="single"/>
          <w:lang w:val="en-US"/>
        </w:rPr>
        <w:t xml:space="preserve">Noteikšanas robeža </w:t>
      </w:r>
      <w:r w:rsidRPr="00D54BB7">
        <w:rPr>
          <w:rFonts w:ascii="Times New Roman" w:hAnsi="Times New Roman"/>
          <w:b/>
          <w:noProof/>
          <w:sz w:val="24"/>
          <w:lang w:val="en-US"/>
        </w:rPr>
        <w:t>(</w:t>
      </w:r>
      <w:r w:rsidRPr="00D54BB7">
        <w:rPr>
          <w:rFonts w:ascii="Times New Roman" w:hAnsi="Times New Roman"/>
          <w:b/>
          <w:i/>
          <w:noProof/>
          <w:sz w:val="24"/>
          <w:u w:val="single"/>
          <w:lang w:val="en-US"/>
        </w:rPr>
        <w:t>LOD</w:t>
      </w:r>
      <w:r w:rsidRPr="00D54BB7">
        <w:rPr>
          <w:rFonts w:ascii="Times New Roman" w:hAnsi="Times New Roman"/>
          <w:b/>
          <w:noProof/>
          <w:sz w:val="24"/>
          <w:lang w:val="en-US"/>
        </w:rPr>
        <w:t xml:space="preserve">) </w:t>
      </w:r>
      <w:r w:rsidRPr="00D54BB7">
        <w:rPr>
          <w:rFonts w:ascii="Times New Roman" w:hAnsi="Times New Roman"/>
          <w:b/>
          <w:noProof/>
          <w:sz w:val="24"/>
          <w:u w:val="single"/>
          <w:lang w:val="en-US"/>
        </w:rPr>
        <w:t xml:space="preserve">sākotnējās </w:t>
      </w:r>
      <w:r w:rsidRPr="00D54BB7">
        <w:rPr>
          <w:rFonts w:ascii="Times New Roman" w:hAnsi="Times New Roman"/>
          <w:b/>
          <w:i/>
          <w:noProof/>
          <w:sz w:val="24"/>
          <w:u w:val="single"/>
          <w:lang w:val="en-US"/>
        </w:rPr>
        <w:t xml:space="preserve">pārbaudes </w:t>
      </w:r>
      <w:r w:rsidRPr="00D54BB7">
        <w:rPr>
          <w:rFonts w:ascii="Times New Roman" w:hAnsi="Times New Roman"/>
          <w:b/>
          <w:noProof/>
          <w:sz w:val="24"/>
          <w:u w:val="single"/>
          <w:lang w:val="en-US"/>
        </w:rPr>
        <w:t xml:space="preserve">procedūrā </w:t>
      </w:r>
      <w:r w:rsidRPr="00D54BB7">
        <w:rPr>
          <w:rFonts w:ascii="Times New Roman" w:hAnsi="Times New Roman"/>
          <w:b/>
          <w:noProof/>
          <w:sz w:val="24"/>
          <w:lang w:val="en-US"/>
        </w:rPr>
        <w:t>(</w:t>
      </w:r>
      <w:r w:rsidRPr="00D54BB7">
        <w:rPr>
          <w:rFonts w:ascii="Times New Roman" w:hAnsi="Times New Roman"/>
          <w:b/>
          <w:i/>
          <w:noProof/>
          <w:sz w:val="24"/>
          <w:u w:val="single"/>
          <w:lang w:val="en-US"/>
        </w:rPr>
        <w:t>ITP</w:t>
      </w:r>
      <w:r w:rsidRPr="00D54BB7">
        <w:rPr>
          <w:rFonts w:ascii="Times New Roman" w:hAnsi="Times New Roman"/>
          <w:b/>
          <w:noProof/>
          <w:sz w:val="24"/>
          <w:lang w:val="en-US"/>
        </w:rPr>
        <w:t>)</w:t>
      </w:r>
    </w:p>
    <w:p w14:paraId="2F64CA3B" w14:textId="77777777" w:rsidR="00D54BB7" w:rsidRPr="00D54BB7" w:rsidRDefault="00D54BB7" w:rsidP="00D54BB7">
      <w:pPr>
        <w:pStyle w:val="BodyText"/>
        <w:rPr>
          <w:lang w:val="en-US"/>
        </w:rPr>
      </w:pPr>
    </w:p>
    <w:p w14:paraId="48AF16DE" w14:textId="77777777" w:rsidR="00D54BB7" w:rsidRPr="00D54BB7" w:rsidRDefault="00D54BB7" w:rsidP="00D54BB7">
      <w:pPr>
        <w:pStyle w:val="BodyText"/>
        <w:rPr>
          <w:lang w:val="en-US"/>
        </w:rPr>
      </w:pPr>
      <w:r w:rsidRPr="00D54BB7">
        <w:rPr>
          <w:u w:val="single"/>
          <w:lang w:val="en-US"/>
        </w:rPr>
        <w:t xml:space="preserve">Laboratorijas </w:t>
      </w:r>
      <w:r w:rsidRPr="00D54BB7">
        <w:rPr>
          <w:i/>
          <w:iCs/>
          <w:u w:val="single"/>
          <w:lang w:val="en-US"/>
        </w:rPr>
        <w:t xml:space="preserve">ITP </w:t>
      </w:r>
      <w:r w:rsidRPr="00D54BB7">
        <w:rPr>
          <w:lang w:val="en-US"/>
        </w:rPr>
        <w:t xml:space="preserve">metodes validācijā ņem vērā katras </w:t>
      </w:r>
      <w:r w:rsidRPr="00D54BB7">
        <w:rPr>
          <w:u w:val="single"/>
          <w:lang w:val="en-US"/>
        </w:rPr>
        <w:t>vielas, kas nav sliekšņa viela</w:t>
      </w:r>
      <w:r w:rsidRPr="00D54BB7">
        <w:rPr>
          <w:lang w:val="en-US"/>
        </w:rPr>
        <w:t>, (</w:t>
      </w:r>
      <w:r w:rsidRPr="00D54BB7">
        <w:rPr>
          <w:i/>
          <w:lang w:val="en-US"/>
        </w:rPr>
        <w:t>t. i</w:t>
      </w:r>
      <w:r w:rsidRPr="00D54BB7">
        <w:rPr>
          <w:lang w:val="en-US"/>
        </w:rPr>
        <w:t xml:space="preserve">., sākumsavienojuma un/vai tā attiecīgā(-o) </w:t>
      </w:r>
      <w:r w:rsidRPr="00D54BB7">
        <w:rPr>
          <w:i/>
          <w:lang w:val="en-US"/>
        </w:rPr>
        <w:t>metabolīta(-u)</w:t>
      </w:r>
      <w:r w:rsidRPr="00D54BB7">
        <w:rPr>
          <w:lang w:val="en-US"/>
        </w:rPr>
        <w:t xml:space="preserve">, </w:t>
      </w:r>
      <w:r w:rsidRPr="00D54BB7">
        <w:rPr>
          <w:i/>
          <w:lang w:val="en-US"/>
        </w:rPr>
        <w:t xml:space="preserve">marķiera(-u) </w:t>
      </w:r>
      <w:r w:rsidRPr="00D54BB7">
        <w:rPr>
          <w:lang w:val="en-US"/>
        </w:rPr>
        <w:t xml:space="preserve">vai noārdīšanās produktu) mērķa </w:t>
      </w:r>
      <w:r w:rsidRPr="00D54BB7">
        <w:rPr>
          <w:u w:val="single"/>
          <w:lang w:val="en-US"/>
        </w:rPr>
        <w:t xml:space="preserve">analīta(-u) </w:t>
      </w:r>
      <w:r w:rsidRPr="00D54BB7">
        <w:rPr>
          <w:i/>
          <w:u w:val="single"/>
          <w:lang w:val="en-US"/>
        </w:rPr>
        <w:t xml:space="preserve">LOD </w:t>
      </w:r>
      <w:r w:rsidRPr="00D54BB7">
        <w:rPr>
          <w:lang w:val="en-US"/>
        </w:rPr>
        <w:t xml:space="preserve">aprēķinu, izmantojot atbilstošu </w:t>
      </w:r>
      <w:r w:rsidRPr="00D54BB7">
        <w:rPr>
          <w:u w:val="single"/>
          <w:lang w:val="en-US"/>
        </w:rPr>
        <w:t>atsauces materiālu</w:t>
      </w:r>
      <w:r w:rsidRPr="00D54BB7">
        <w:rPr>
          <w:lang w:val="en-US"/>
        </w:rPr>
        <w:t>, ja tāds ir pieejams.</w:t>
      </w:r>
    </w:p>
    <w:p w14:paraId="000D2FE6" w14:textId="77777777" w:rsidR="00D54BB7" w:rsidRPr="00D54BB7" w:rsidRDefault="00D54BB7" w:rsidP="00D54BB7">
      <w:pPr>
        <w:pStyle w:val="BodyText"/>
        <w:numPr>
          <w:ilvl w:val="2"/>
          <w:numId w:val="16"/>
        </w:numPr>
        <w:tabs>
          <w:tab w:val="left" w:pos="851"/>
        </w:tabs>
        <w:ind w:left="284" w:firstLine="0"/>
        <w:rPr>
          <w:lang w:val="en-US"/>
        </w:rPr>
      </w:pPr>
      <w:r w:rsidRPr="00D54BB7">
        <w:rPr>
          <w:i/>
          <w:iCs/>
          <w:u w:val="single"/>
          <w:lang w:val="en-US"/>
        </w:rPr>
        <w:t xml:space="preserve">LOD </w:t>
      </w:r>
      <w:r w:rsidRPr="00D54BB7">
        <w:rPr>
          <w:lang w:val="en-US"/>
        </w:rPr>
        <w:t xml:space="preserve">nav jāaplēš visiem attiecīgās </w:t>
      </w:r>
      <w:r w:rsidRPr="00D54BB7">
        <w:rPr>
          <w:u w:val="single"/>
          <w:lang w:val="en-US"/>
        </w:rPr>
        <w:t>vielas, kas nav sliekšņa viela</w:t>
      </w:r>
      <w:r w:rsidRPr="00D54BB7">
        <w:rPr>
          <w:lang w:val="en-US"/>
        </w:rPr>
        <w:t xml:space="preserve">, iespējamajiem </w:t>
      </w:r>
      <w:r w:rsidRPr="00D54BB7">
        <w:rPr>
          <w:i/>
          <w:iCs/>
          <w:lang w:val="en-US"/>
        </w:rPr>
        <w:t>metabolītiem</w:t>
      </w:r>
      <w:r w:rsidRPr="00D54BB7">
        <w:rPr>
          <w:lang w:val="en-US"/>
        </w:rPr>
        <w:t xml:space="preserve">, </w:t>
      </w:r>
      <w:r w:rsidRPr="00D54BB7">
        <w:rPr>
          <w:i/>
          <w:iCs/>
          <w:lang w:val="en-US"/>
        </w:rPr>
        <w:t xml:space="preserve">marķierim(-iem) </w:t>
      </w:r>
      <w:r w:rsidRPr="00D54BB7">
        <w:rPr>
          <w:lang w:val="en-US"/>
        </w:rPr>
        <w:t>vai noārdīšanās produktiem.</w:t>
      </w:r>
    </w:p>
    <w:p w14:paraId="14F33797" w14:textId="77777777" w:rsidR="00D54BB7" w:rsidRPr="00D54BB7" w:rsidRDefault="00D54BB7" w:rsidP="00D54BB7">
      <w:pPr>
        <w:pStyle w:val="BodyText"/>
        <w:numPr>
          <w:ilvl w:val="2"/>
          <w:numId w:val="16"/>
        </w:numPr>
        <w:tabs>
          <w:tab w:val="left" w:pos="851"/>
        </w:tabs>
        <w:ind w:left="284" w:firstLine="0"/>
        <w:rPr>
          <w:lang w:val="en-US"/>
        </w:rPr>
      </w:pPr>
      <w:r w:rsidRPr="00D54BB7">
        <w:rPr>
          <w:i/>
          <w:iCs/>
          <w:u w:val="single"/>
          <w:lang w:val="en-US"/>
        </w:rPr>
        <w:t xml:space="preserve">ITP </w:t>
      </w:r>
      <w:r w:rsidRPr="00D54BB7">
        <w:rPr>
          <w:lang w:val="en-US"/>
        </w:rPr>
        <w:t xml:space="preserve">aprēķinātajai </w:t>
      </w:r>
      <w:r w:rsidRPr="00D54BB7">
        <w:rPr>
          <w:i/>
          <w:iCs/>
          <w:u w:val="single"/>
          <w:lang w:val="en-US"/>
        </w:rPr>
        <w:t xml:space="preserve">LOD </w:t>
      </w:r>
      <w:r w:rsidRPr="00D54BB7">
        <w:rPr>
          <w:lang w:val="en-US"/>
        </w:rPr>
        <w:t>jābūt mazākai vai vienādai ar (≤):</w:t>
      </w:r>
    </w:p>
    <w:p w14:paraId="51A855B3" w14:textId="77777777" w:rsidR="00D54BB7" w:rsidRPr="00D54BB7" w:rsidRDefault="00D54BB7" w:rsidP="00D54BB7">
      <w:pPr>
        <w:pStyle w:val="BodyText"/>
        <w:numPr>
          <w:ilvl w:val="0"/>
          <w:numId w:val="19"/>
        </w:numPr>
        <w:tabs>
          <w:tab w:val="left" w:pos="1134"/>
        </w:tabs>
        <w:ind w:left="567" w:firstLine="0"/>
        <w:rPr>
          <w:lang w:val="en-US"/>
        </w:rPr>
      </w:pPr>
      <w:r w:rsidRPr="00D54BB7">
        <w:rPr>
          <w:lang w:val="en-US"/>
        </w:rPr>
        <w:t xml:space="preserve">50 % no atbilstošās </w:t>
      </w:r>
      <w:r w:rsidRPr="00D54BB7">
        <w:rPr>
          <w:i/>
          <w:iCs/>
          <w:u w:val="single"/>
          <w:lang w:val="en-US"/>
        </w:rPr>
        <w:t xml:space="preserve">MRPL </w:t>
      </w:r>
      <w:r w:rsidRPr="00D54BB7">
        <w:rPr>
          <w:lang w:val="en-US"/>
        </w:rPr>
        <w:t>vērtības:</w:t>
      </w:r>
    </w:p>
    <w:p w14:paraId="41ECA437" w14:textId="77777777" w:rsidR="00D54BB7" w:rsidRPr="00D54BB7" w:rsidRDefault="00D54BB7" w:rsidP="00D54BB7">
      <w:pPr>
        <w:pStyle w:val="Heading2"/>
        <w:tabs>
          <w:tab w:val="left" w:pos="851"/>
          <w:tab w:val="left" w:pos="1807"/>
        </w:tabs>
        <w:ind w:left="1134"/>
        <w:jc w:val="both"/>
        <w:rPr>
          <w:rFonts w:ascii="Times New Roman" w:hAnsi="Times New Roman" w:cs="Times New Roman"/>
          <w:noProof/>
          <w:lang w:val="en-US"/>
        </w:rPr>
      </w:pPr>
      <w:r w:rsidRPr="00D54BB7">
        <w:rPr>
          <w:rFonts w:ascii="Times New Roman" w:hAnsi="Times New Roman"/>
          <w:noProof/>
          <w:lang w:val="en-US"/>
        </w:rPr>
        <w:t xml:space="preserve">2) </w:t>
      </w:r>
      <w:r w:rsidRPr="00D54BB7">
        <w:rPr>
          <w:rFonts w:ascii="Times New Roman" w:hAnsi="Times New Roman"/>
          <w:i/>
          <w:iCs/>
          <w:noProof/>
          <w:lang w:val="en-US"/>
        </w:rPr>
        <w:t xml:space="preserve">LOD </w:t>
      </w:r>
      <w:r w:rsidRPr="00D54BB7">
        <w:rPr>
          <w:rFonts w:ascii="Times New Roman" w:hAnsi="Times New Roman"/>
          <w:noProof/>
          <w:lang w:val="en-US"/>
        </w:rPr>
        <w:t xml:space="preserve">≤ 0,5 ⋅ </w:t>
      </w:r>
      <w:r w:rsidRPr="00D54BB7">
        <w:rPr>
          <w:rFonts w:ascii="Times New Roman" w:hAnsi="Times New Roman"/>
          <w:i/>
          <w:noProof/>
          <w:lang w:val="en-US"/>
        </w:rPr>
        <w:t>MRPL</w:t>
      </w:r>
    </w:p>
    <w:p w14:paraId="2E64A0BB" w14:textId="77777777" w:rsidR="00D54BB7" w:rsidRPr="00D54BB7" w:rsidRDefault="00D54BB7" w:rsidP="00D54BB7">
      <w:pPr>
        <w:tabs>
          <w:tab w:val="left" w:pos="851"/>
        </w:tabs>
        <w:ind w:left="284"/>
        <w:jc w:val="both"/>
        <w:rPr>
          <w:rFonts w:ascii="Times New Roman" w:hAnsi="Times New Roman" w:cs="Times New Roman"/>
          <w:noProof/>
          <w:lang w:val="en-US"/>
        </w:rPr>
      </w:pPr>
    </w:p>
    <w:p w14:paraId="6576FC19" w14:textId="77777777" w:rsidR="00D54BB7" w:rsidRPr="00D54BB7" w:rsidRDefault="00D54BB7" w:rsidP="00D54BB7">
      <w:pPr>
        <w:tabs>
          <w:tab w:val="left" w:pos="851"/>
        </w:tabs>
        <w:ind w:left="567"/>
        <w:jc w:val="both"/>
        <w:rPr>
          <w:rFonts w:ascii="Times New Roman" w:hAnsi="Times New Roman"/>
          <w:i/>
          <w:noProof/>
          <w:sz w:val="24"/>
          <w:lang w:val="en-US"/>
        </w:rPr>
      </w:pP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[Piezīme. To nepiemēro bēta blokatoru analīzei, kuriem </w:t>
      </w:r>
      <w:r w:rsidRPr="00D54BB7">
        <w:rPr>
          <w:rFonts w:ascii="Times New Roman" w:hAnsi="Times New Roman"/>
          <w:i/>
          <w:noProof/>
          <w:sz w:val="24"/>
          <w:u w:val="single"/>
          <w:lang w:val="en-US"/>
        </w:rPr>
        <w:t xml:space="preserve">LOD </w:t>
      </w:r>
      <w:r w:rsidRPr="00D54BB7">
        <w:rPr>
          <w:rFonts w:ascii="Times New Roman" w:hAnsi="Times New Roman"/>
          <w:i/>
          <w:noProof/>
          <w:sz w:val="24"/>
          <w:lang w:val="en-US"/>
        </w:rPr>
        <w:t>≤ MRL, neatkarīgi no tā, vai MRL ir piemērojams vai nav piemērojams – skat. 1. tabulas piezīmi.]</w:t>
      </w:r>
    </w:p>
    <w:p w14:paraId="20B246F1" w14:textId="77777777" w:rsidR="00D54BB7" w:rsidRPr="00D54BB7" w:rsidRDefault="00D54BB7" w:rsidP="00D54BB7">
      <w:pPr>
        <w:tabs>
          <w:tab w:val="left" w:pos="851"/>
        </w:tabs>
        <w:ind w:left="284"/>
        <w:jc w:val="both"/>
        <w:rPr>
          <w:rFonts w:ascii="Times New Roman" w:hAnsi="Times New Roman"/>
          <w:i/>
          <w:noProof/>
          <w:sz w:val="24"/>
          <w:lang w:val="en-US"/>
        </w:rPr>
      </w:pPr>
    </w:p>
    <w:p w14:paraId="725848B1" w14:textId="77777777" w:rsidR="00D54BB7" w:rsidRPr="00D54BB7" w:rsidRDefault="00D54BB7" w:rsidP="00D54BB7">
      <w:pPr>
        <w:pStyle w:val="BodyText"/>
        <w:rPr>
          <w:lang w:val="en-US"/>
        </w:rPr>
      </w:pPr>
      <w:r w:rsidRPr="00D54BB7">
        <w:rPr>
          <w:lang w:val="en-US"/>
        </w:rPr>
        <w:t>VAI</w:t>
      </w:r>
    </w:p>
    <w:p w14:paraId="3FE99088" w14:textId="77777777" w:rsidR="00D54BB7" w:rsidRPr="00D54BB7" w:rsidRDefault="00D54BB7" w:rsidP="00D54BB7">
      <w:pPr>
        <w:pStyle w:val="BodyText"/>
        <w:rPr>
          <w:lang w:val="en-US"/>
        </w:rPr>
      </w:pPr>
    </w:p>
    <w:p w14:paraId="7E5A9056" w14:textId="77777777" w:rsidR="00D54BB7" w:rsidRPr="00D54BB7" w:rsidRDefault="00D54BB7" w:rsidP="00D54BB7">
      <w:pPr>
        <w:numPr>
          <w:ilvl w:val="0"/>
          <w:numId w:val="15"/>
        </w:numPr>
        <w:tabs>
          <w:tab w:val="left" w:pos="1134"/>
          <w:tab w:val="left" w:pos="1264"/>
        </w:tabs>
        <w:ind w:left="567" w:firstLine="0"/>
        <w:jc w:val="both"/>
        <w:rPr>
          <w:rFonts w:ascii="Times New Roman" w:hAnsi="Times New Roman"/>
          <w:noProof/>
          <w:sz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ar atbilstošo </w:t>
      </w:r>
      <w:r w:rsidRPr="00D54BB7">
        <w:rPr>
          <w:rFonts w:ascii="Times New Roman" w:hAnsi="Times New Roman"/>
          <w:i/>
          <w:iCs/>
          <w:noProof/>
          <w:sz w:val="24"/>
          <w:lang w:val="en-US"/>
        </w:rPr>
        <w:t xml:space="preserve">minimālo ziņošanas līmeni </w:t>
      </w:r>
      <w:r w:rsidRPr="00D54BB7">
        <w:rPr>
          <w:rFonts w:ascii="Times New Roman" w:hAnsi="Times New Roman"/>
          <w:noProof/>
          <w:sz w:val="24"/>
          <w:lang w:val="en-US"/>
        </w:rPr>
        <w:t>(</w:t>
      </w:r>
      <w:r w:rsidRPr="00D54BB7">
        <w:rPr>
          <w:rFonts w:ascii="Times New Roman" w:hAnsi="Times New Roman"/>
          <w:i/>
          <w:iCs/>
          <w:noProof/>
          <w:sz w:val="24"/>
          <w:lang w:val="en-US"/>
        </w:rPr>
        <w:t>MRL</w:t>
      </w:r>
      <w:r w:rsidRPr="00D54BB7">
        <w:rPr>
          <w:rFonts w:ascii="Times New Roman" w:hAnsi="Times New Roman"/>
          <w:noProof/>
          <w:sz w:val="24"/>
          <w:lang w:val="en-US"/>
        </w:rPr>
        <w:t>), ja tas piemērojams (skat. 1. tabulu):</w:t>
      </w:r>
    </w:p>
    <w:p w14:paraId="736038C3" w14:textId="77777777" w:rsidR="00D54BB7" w:rsidRPr="00D54BB7" w:rsidRDefault="00D54BB7" w:rsidP="00D54BB7">
      <w:pPr>
        <w:pStyle w:val="Heading2"/>
        <w:tabs>
          <w:tab w:val="left" w:pos="851"/>
          <w:tab w:val="left" w:pos="1807"/>
        </w:tabs>
        <w:ind w:left="1134"/>
        <w:jc w:val="both"/>
        <w:rPr>
          <w:rFonts w:ascii="Times New Roman" w:hAnsi="Times New Roman" w:cs="Times New Roman"/>
          <w:i/>
          <w:iCs/>
          <w:noProof/>
          <w:lang w:val="en-US"/>
        </w:rPr>
      </w:pPr>
      <w:r w:rsidRPr="00D54BB7">
        <w:rPr>
          <w:rFonts w:ascii="Times New Roman" w:hAnsi="Times New Roman"/>
          <w:noProof/>
          <w:lang w:val="en-US"/>
        </w:rPr>
        <w:t xml:space="preserve">3) </w:t>
      </w:r>
      <w:r w:rsidRPr="00D54BB7">
        <w:rPr>
          <w:rFonts w:ascii="Times New Roman" w:hAnsi="Times New Roman"/>
          <w:i/>
          <w:iCs/>
          <w:noProof/>
          <w:lang w:val="en-US"/>
        </w:rPr>
        <w:t xml:space="preserve">LOD </w:t>
      </w:r>
      <w:r w:rsidRPr="00D54BB7">
        <w:rPr>
          <w:rFonts w:ascii="Times New Roman" w:hAnsi="Times New Roman"/>
          <w:noProof/>
          <w:lang w:val="en-US"/>
        </w:rPr>
        <w:t xml:space="preserve">≤ </w:t>
      </w:r>
      <w:r w:rsidRPr="00D54BB7">
        <w:rPr>
          <w:rFonts w:ascii="Times New Roman" w:hAnsi="Times New Roman"/>
          <w:i/>
          <w:iCs/>
          <w:noProof/>
          <w:lang w:val="en-US"/>
        </w:rPr>
        <w:t>MRL</w:t>
      </w:r>
      <w:r w:rsidRPr="00D54BB7">
        <w:rPr>
          <w:rFonts w:ascii="Times New Roman" w:hAnsi="Times New Roman"/>
          <w:noProof/>
          <w:lang w:val="en-US"/>
        </w:rPr>
        <w:t>.</w:t>
      </w:r>
    </w:p>
    <w:p w14:paraId="4D6E850E" w14:textId="77777777" w:rsidR="00D54BB7" w:rsidRPr="00D54BB7" w:rsidRDefault="00D54BB7" w:rsidP="00D54BB7">
      <w:pPr>
        <w:tabs>
          <w:tab w:val="left" w:pos="851"/>
        </w:tabs>
        <w:ind w:left="284"/>
        <w:jc w:val="both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</w:p>
    <w:p w14:paraId="23F33970" w14:textId="77777777" w:rsidR="00D54BB7" w:rsidRPr="00D54BB7" w:rsidRDefault="00D54BB7" w:rsidP="00D54BB7">
      <w:pPr>
        <w:tabs>
          <w:tab w:val="left" w:pos="1134"/>
        </w:tabs>
        <w:ind w:left="567"/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[Piezīme. To nepiemēro turpmākajos gadījumos, kad </w:t>
      </w:r>
      <w:r w:rsidRPr="00D54BB7">
        <w:rPr>
          <w:rFonts w:ascii="Times New Roman" w:hAnsi="Times New Roman"/>
          <w:i/>
          <w:noProof/>
          <w:sz w:val="24"/>
          <w:u w:val="single"/>
          <w:lang w:val="en-US"/>
        </w:rPr>
        <w:t xml:space="preserve">ITP LOD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atbilst 2) nosacījumam (≤ 0,5 ⋅ </w:t>
      </w:r>
      <w:r w:rsidRPr="00D54BB7">
        <w:rPr>
          <w:rFonts w:ascii="Times New Roman" w:hAnsi="Times New Roman"/>
          <w:i/>
          <w:noProof/>
          <w:sz w:val="24"/>
          <w:u w:val="single"/>
          <w:lang w:val="en-US"/>
        </w:rPr>
        <w:t>MRPL</w:t>
      </w:r>
      <w:r w:rsidRPr="00D54BB7">
        <w:rPr>
          <w:rFonts w:ascii="Times New Roman" w:hAnsi="Times New Roman"/>
          <w:i/>
          <w:noProof/>
          <w:sz w:val="24"/>
          <w:lang w:val="en-US"/>
        </w:rPr>
        <w:t>):</w:t>
      </w:r>
    </w:p>
    <w:p w14:paraId="44EF3EE0" w14:textId="77777777" w:rsidR="00D54BB7" w:rsidRPr="00D54BB7" w:rsidRDefault="00D54BB7" w:rsidP="00D54BB7">
      <w:pPr>
        <w:numPr>
          <w:ilvl w:val="1"/>
          <w:numId w:val="15"/>
        </w:numPr>
        <w:tabs>
          <w:tab w:val="left" w:pos="1418"/>
        </w:tabs>
        <w:ind w:left="851" w:firstLine="0"/>
        <w:jc w:val="both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i/>
          <w:noProof/>
          <w:sz w:val="24"/>
          <w:lang w:val="en-US"/>
        </w:rPr>
        <w:t>vielām, kurām ir noteikts MRL, lai noteiktu koncentrāciju, kuru pārsniedzot, par rezultātu paziņo kā par AAF, neparedzot vajadzību veikt GC/C/IRMS analīzi (t. i., 19-NA, 19-NE, boldenonam, boldenona metabolītam un formestānam)</w:t>
      </w:r>
      <w:r w:rsidRPr="00D54BB7">
        <w:rPr>
          <w:rFonts w:ascii="Times New Roman" w:hAnsi="Times New Roman"/>
          <w:i/>
          <w:noProof/>
          <w:sz w:val="24"/>
          <w:vertAlign w:val="superscript"/>
          <w:lang w:val="en-US"/>
        </w:rPr>
        <w:t>[4, 5]</w:t>
      </w:r>
      <w:r w:rsidRPr="00D54BB7">
        <w:rPr>
          <w:rFonts w:ascii="Times New Roman" w:hAnsi="Times New Roman"/>
          <w:i/>
          <w:noProof/>
          <w:sz w:val="24"/>
          <w:lang w:val="en-US"/>
        </w:rPr>
        <w:t>;</w:t>
      </w:r>
    </w:p>
    <w:p w14:paraId="294BF244" w14:textId="77777777" w:rsidR="00D54BB7" w:rsidRPr="00D54BB7" w:rsidRDefault="00D54BB7" w:rsidP="00D54BB7">
      <w:pPr>
        <w:numPr>
          <w:ilvl w:val="1"/>
          <w:numId w:val="15"/>
        </w:numPr>
        <w:tabs>
          <w:tab w:val="left" w:pos="1418"/>
        </w:tabs>
        <w:ind w:left="851" w:firstLine="0"/>
        <w:jc w:val="both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i/>
          <w:noProof/>
          <w:sz w:val="24"/>
          <w:lang w:val="en-US"/>
        </w:rPr>
        <w:t>vielām, kuras iedalītas S1.2. klasē un kuras var izmantot kā augšanas veicinātājus mājlopiem (t. i., klenbuterolam, raktopamīnam, zeranolam un zilpaterolam</w:t>
      </w:r>
      <w:r w:rsidRPr="00D54BB7">
        <w:rPr>
          <w:rFonts w:ascii="Times New Roman" w:hAnsi="Times New Roman"/>
          <w:i/>
          <w:noProof/>
          <w:sz w:val="24"/>
          <w:vertAlign w:val="superscript"/>
          <w:lang w:val="en-US"/>
        </w:rPr>
        <w:t>[6]</w:t>
      </w:r>
      <w:r w:rsidRPr="00D54BB7">
        <w:rPr>
          <w:rFonts w:ascii="Times New Roman" w:hAnsi="Times New Roman"/>
          <w:i/>
          <w:noProof/>
          <w:sz w:val="24"/>
          <w:lang w:val="en-US"/>
        </w:rPr>
        <w:t>);</w:t>
      </w:r>
    </w:p>
    <w:p w14:paraId="6199DAD7" w14:textId="77777777" w:rsidR="00D54BB7" w:rsidRPr="00D54BB7" w:rsidRDefault="00D54BB7" w:rsidP="00D54BB7">
      <w:pPr>
        <w:numPr>
          <w:ilvl w:val="1"/>
          <w:numId w:val="15"/>
        </w:numPr>
        <w:tabs>
          <w:tab w:val="left" w:pos="1418"/>
        </w:tabs>
        <w:ind w:left="851" w:firstLine="0"/>
        <w:jc w:val="both"/>
        <w:rPr>
          <w:rFonts w:ascii="Times New Roman" w:hAnsi="Times New Roman"/>
          <w:i/>
          <w:noProof/>
          <w:sz w:val="24"/>
          <w:lang w:val="en-US"/>
        </w:rPr>
      </w:pPr>
      <w:r w:rsidRPr="00D54BB7">
        <w:rPr>
          <w:rFonts w:ascii="Times New Roman" w:hAnsi="Times New Roman"/>
          <w:i/>
          <w:noProof/>
          <w:sz w:val="24"/>
          <w:lang w:val="en-US"/>
        </w:rPr>
        <w:t>kokaīnam (sākumsavienojumam).]</w:t>
      </w:r>
    </w:p>
    <w:p w14:paraId="666D5686" w14:textId="77777777" w:rsidR="00D54BB7" w:rsidRPr="00D54BB7" w:rsidRDefault="00D54BB7" w:rsidP="00D54BB7">
      <w:pPr>
        <w:tabs>
          <w:tab w:val="left" w:pos="851"/>
        </w:tabs>
        <w:ind w:left="284"/>
        <w:jc w:val="both"/>
        <w:rPr>
          <w:rFonts w:ascii="Times New Roman" w:eastAsia="Arial" w:hAnsi="Times New Roman" w:cs="Times New Roman"/>
          <w:i/>
          <w:noProof/>
          <w:sz w:val="24"/>
          <w:szCs w:val="24"/>
          <w:lang w:val="en-US"/>
        </w:rPr>
      </w:pPr>
    </w:p>
    <w:p w14:paraId="0B9D4C84" w14:textId="77777777" w:rsidR="00D54BB7" w:rsidRPr="00D54BB7" w:rsidRDefault="00D54BB7" w:rsidP="00D54BB7">
      <w:pPr>
        <w:pStyle w:val="BodyText"/>
        <w:numPr>
          <w:ilvl w:val="2"/>
          <w:numId w:val="16"/>
        </w:numPr>
        <w:tabs>
          <w:tab w:val="left" w:pos="851"/>
        </w:tabs>
        <w:ind w:left="284" w:firstLine="0"/>
        <w:rPr>
          <w:lang w:val="en-US"/>
        </w:rPr>
      </w:pPr>
      <w:r w:rsidRPr="00D54BB7">
        <w:rPr>
          <w:lang w:val="en-US"/>
        </w:rPr>
        <w:t xml:space="preserve">Ja nav atbilstoša </w:t>
      </w:r>
      <w:r w:rsidRPr="00D54BB7">
        <w:rPr>
          <w:u w:val="single"/>
          <w:lang w:val="en-US"/>
        </w:rPr>
        <w:t xml:space="preserve">atsauces materiāla </w:t>
      </w:r>
      <w:r w:rsidRPr="00D54BB7">
        <w:rPr>
          <w:lang w:val="en-US"/>
        </w:rPr>
        <w:t xml:space="preserve">konkrētai </w:t>
      </w:r>
      <w:r w:rsidRPr="00D54BB7">
        <w:rPr>
          <w:u w:val="single"/>
          <w:lang w:val="en-US"/>
        </w:rPr>
        <w:t>vielai, kas nav sliekšņa viela</w:t>
      </w:r>
      <w:r w:rsidRPr="00D54BB7">
        <w:rPr>
          <w:lang w:val="en-US"/>
        </w:rPr>
        <w:t xml:space="preserve">, vai tās </w:t>
      </w:r>
      <w:r w:rsidRPr="00D54BB7">
        <w:rPr>
          <w:lang w:val="en-US"/>
        </w:rPr>
        <w:lastRenderedPageBreak/>
        <w:t xml:space="preserve">attiecīgajam(-ajiem) </w:t>
      </w:r>
      <w:r w:rsidRPr="00D54BB7">
        <w:rPr>
          <w:i/>
          <w:iCs/>
          <w:lang w:val="en-US"/>
        </w:rPr>
        <w:t>metabolītam(-iem)</w:t>
      </w:r>
      <w:r w:rsidRPr="00D54BB7">
        <w:rPr>
          <w:lang w:val="en-US"/>
        </w:rPr>
        <w:t xml:space="preserve">, </w:t>
      </w:r>
      <w:r w:rsidRPr="00D54BB7">
        <w:rPr>
          <w:i/>
          <w:iCs/>
          <w:lang w:val="en-US"/>
        </w:rPr>
        <w:t xml:space="preserve">marķierim(-iem) </w:t>
      </w:r>
      <w:r w:rsidRPr="00D54BB7">
        <w:rPr>
          <w:lang w:val="en-US"/>
        </w:rPr>
        <w:t xml:space="preserve">vai noārdīšanās produktiem, pieņem, ka </w:t>
      </w:r>
      <w:r w:rsidRPr="00D54BB7">
        <w:rPr>
          <w:i/>
          <w:iCs/>
          <w:u w:val="single"/>
          <w:lang w:val="en-US"/>
        </w:rPr>
        <w:t xml:space="preserve">LOD </w:t>
      </w:r>
      <w:r w:rsidRPr="00D54BB7">
        <w:rPr>
          <w:lang w:val="en-US"/>
        </w:rPr>
        <w:t xml:space="preserve">līdzinās tai </w:t>
      </w:r>
      <w:r w:rsidRPr="00D54BB7">
        <w:rPr>
          <w:i/>
          <w:iCs/>
          <w:u w:val="single"/>
          <w:lang w:val="en-US"/>
        </w:rPr>
        <w:t>LOD</w:t>
      </w:r>
      <w:r w:rsidRPr="00D54BB7">
        <w:rPr>
          <w:lang w:val="en-US"/>
        </w:rPr>
        <w:t xml:space="preserve">, kuru piemēro radniecīgai tās pašas klases </w:t>
      </w:r>
      <w:r w:rsidRPr="00D54BB7">
        <w:rPr>
          <w:i/>
          <w:iCs/>
          <w:lang w:val="en-US"/>
        </w:rPr>
        <w:t>aizliegtai vielai</w:t>
      </w:r>
      <w:r w:rsidRPr="00D54BB7">
        <w:rPr>
          <w:lang w:val="en-US"/>
        </w:rPr>
        <w:t>.</w:t>
      </w:r>
    </w:p>
    <w:p w14:paraId="2C8D24C5" w14:textId="77777777" w:rsidR="00D54BB7" w:rsidRPr="00D54BB7" w:rsidRDefault="00D54BB7" w:rsidP="00D54BB7">
      <w:pPr>
        <w:tabs>
          <w:tab w:val="left" w:pos="851"/>
        </w:tabs>
        <w:ind w:left="284"/>
        <w:jc w:val="both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</w:p>
    <w:p w14:paraId="3DC8519D" w14:textId="77777777" w:rsidR="00D54BB7" w:rsidRPr="00D54BB7" w:rsidRDefault="00D54BB7" w:rsidP="00D54BB7">
      <w:pPr>
        <w:tabs>
          <w:tab w:val="left" w:pos="851"/>
        </w:tabs>
        <w:ind w:left="284"/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[Piezīme. Izmantojot hromatogrāfiijas masspektrometrjas </w:t>
      </w:r>
      <w:r w:rsidRPr="00D54BB7">
        <w:rPr>
          <w:rFonts w:ascii="Times New Roman" w:hAnsi="Times New Roman"/>
          <w:i/>
          <w:noProof/>
          <w:sz w:val="24"/>
          <w:u w:val="single"/>
          <w:lang w:val="en-US"/>
        </w:rPr>
        <w:t>analītiskās metodes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, </w:t>
      </w:r>
      <w:r w:rsidRPr="00D54BB7">
        <w:rPr>
          <w:rFonts w:ascii="Times New Roman" w:hAnsi="Times New Roman"/>
          <w:i/>
          <w:noProof/>
          <w:sz w:val="24"/>
          <w:u w:val="single"/>
          <w:lang w:val="en-US"/>
        </w:rPr>
        <w:t xml:space="preserve">LOD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izsaka kā minimālo </w:t>
      </w:r>
      <w:r w:rsidRPr="00D54BB7">
        <w:rPr>
          <w:rFonts w:ascii="Times New Roman" w:hAnsi="Times New Roman"/>
          <w:i/>
          <w:noProof/>
          <w:sz w:val="24"/>
          <w:u w:val="single"/>
          <w:lang w:val="en-US"/>
        </w:rPr>
        <w:t xml:space="preserve">analīta </w:t>
      </w:r>
      <w:r w:rsidRPr="00D54BB7">
        <w:rPr>
          <w:rFonts w:ascii="Times New Roman" w:hAnsi="Times New Roman"/>
          <w:i/>
          <w:noProof/>
          <w:sz w:val="24"/>
          <w:lang w:val="en-US"/>
        </w:rPr>
        <w:t>koncentrāciju, kuru var ikdienā noteikt (bet ne vienmēr identificēt vai kvantitatīvi noteikt) reprezentatīvos paraugos ar 95 % noteikšanas biežumu.]</w:t>
      </w:r>
    </w:p>
    <w:p w14:paraId="48EFC8C7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i/>
          <w:noProof/>
          <w:sz w:val="24"/>
          <w:szCs w:val="24"/>
          <w:lang w:val="en-US"/>
        </w:rPr>
      </w:pPr>
    </w:p>
    <w:p w14:paraId="31F664D8" w14:textId="77777777" w:rsidR="00D54BB7" w:rsidRPr="00D54BB7" w:rsidRDefault="00D54BB7" w:rsidP="00D54BB7">
      <w:pPr>
        <w:pStyle w:val="Heading1"/>
        <w:tabs>
          <w:tab w:val="left" w:pos="515"/>
        </w:tabs>
        <w:ind w:left="0" w:firstLine="0"/>
        <w:jc w:val="both"/>
        <w:rPr>
          <w:rFonts w:ascii="Times New Roman" w:hAnsi="Times New Roman" w:cs="Times New Roman"/>
          <w:b w:val="0"/>
          <w:bCs w:val="0"/>
          <w:noProof/>
          <w:u w:val="none"/>
          <w:lang w:val="en-US"/>
        </w:rPr>
      </w:pPr>
      <w:r w:rsidRPr="00D54BB7">
        <w:rPr>
          <w:rFonts w:ascii="Times New Roman" w:hAnsi="Times New Roman"/>
          <w:noProof/>
          <w:u w:val="none"/>
          <w:lang w:val="en-US"/>
        </w:rPr>
        <w:t xml:space="preserve">4.0. </w:t>
      </w:r>
      <w:r w:rsidRPr="00D54BB7">
        <w:rPr>
          <w:rFonts w:ascii="Times New Roman" w:hAnsi="Times New Roman"/>
          <w:noProof/>
          <w:u w:val="thick" w:color="000000"/>
          <w:lang w:val="en-US"/>
        </w:rPr>
        <w:t xml:space="preserve">Identifikācijas robeža </w:t>
      </w:r>
      <w:r w:rsidRPr="00D54BB7">
        <w:rPr>
          <w:rFonts w:ascii="Times New Roman" w:hAnsi="Times New Roman"/>
          <w:noProof/>
          <w:u w:val="none"/>
          <w:lang w:val="en-US"/>
        </w:rPr>
        <w:t>(</w:t>
      </w:r>
      <w:r w:rsidRPr="00D54BB7">
        <w:rPr>
          <w:rFonts w:ascii="Times New Roman" w:hAnsi="Times New Roman"/>
          <w:i/>
          <w:iCs/>
          <w:noProof/>
          <w:u w:val="thick" w:color="000000"/>
          <w:lang w:val="en-US"/>
        </w:rPr>
        <w:t>LOI</w:t>
      </w:r>
      <w:r w:rsidRPr="00D54BB7">
        <w:rPr>
          <w:rFonts w:ascii="Times New Roman" w:hAnsi="Times New Roman"/>
          <w:noProof/>
          <w:u w:val="none"/>
          <w:lang w:val="en-US"/>
        </w:rPr>
        <w:t xml:space="preserve">) </w:t>
      </w:r>
      <w:r w:rsidRPr="00D54BB7">
        <w:rPr>
          <w:rFonts w:ascii="Times New Roman" w:hAnsi="Times New Roman"/>
          <w:noProof/>
          <w:u w:val="thick" w:color="000000"/>
          <w:lang w:val="en-US"/>
        </w:rPr>
        <w:t xml:space="preserve">apstiprināšanas procedūrā </w:t>
      </w:r>
      <w:r w:rsidRPr="00D54BB7">
        <w:rPr>
          <w:rFonts w:ascii="Times New Roman" w:hAnsi="Times New Roman"/>
          <w:noProof/>
          <w:u w:val="none"/>
          <w:lang w:val="en-US"/>
        </w:rPr>
        <w:t>(</w:t>
      </w:r>
      <w:r w:rsidRPr="00D54BB7">
        <w:rPr>
          <w:rFonts w:ascii="Times New Roman" w:hAnsi="Times New Roman"/>
          <w:i/>
          <w:iCs/>
          <w:noProof/>
          <w:u w:val="thick" w:color="000000"/>
          <w:lang w:val="en-US"/>
        </w:rPr>
        <w:t>CP</w:t>
      </w:r>
      <w:r w:rsidRPr="00D54BB7">
        <w:rPr>
          <w:rFonts w:ascii="Times New Roman" w:hAnsi="Times New Roman"/>
          <w:noProof/>
          <w:u w:val="none"/>
          <w:lang w:val="en-US"/>
        </w:rPr>
        <w:t>)</w:t>
      </w:r>
    </w:p>
    <w:p w14:paraId="5487712F" w14:textId="77777777" w:rsidR="00D54BB7" w:rsidRPr="00D54BB7" w:rsidRDefault="00D54BB7" w:rsidP="00D54BB7">
      <w:pPr>
        <w:pStyle w:val="BodyText"/>
        <w:rPr>
          <w:lang w:val="en-US"/>
        </w:rPr>
      </w:pPr>
    </w:p>
    <w:p w14:paraId="6B0DF32F" w14:textId="77777777" w:rsidR="00D54BB7" w:rsidRPr="00D54BB7" w:rsidRDefault="00D54BB7" w:rsidP="00D54BB7">
      <w:pPr>
        <w:pStyle w:val="BodyText"/>
        <w:rPr>
          <w:lang w:val="en-US"/>
        </w:rPr>
      </w:pPr>
      <w:r w:rsidRPr="00D54BB7">
        <w:rPr>
          <w:u w:val="single"/>
          <w:lang w:val="en-US"/>
        </w:rPr>
        <w:t xml:space="preserve">Laboratorija </w:t>
      </w:r>
      <w:r w:rsidRPr="00D54BB7">
        <w:rPr>
          <w:lang w:val="en-US"/>
        </w:rPr>
        <w:t xml:space="preserve">dokumentē, ka </w:t>
      </w:r>
      <w:r w:rsidRPr="00D54BB7">
        <w:rPr>
          <w:u w:val="single"/>
          <w:lang w:val="en-US"/>
        </w:rPr>
        <w:t>vielas, kas nav sliekšņa viela</w:t>
      </w:r>
      <w:r w:rsidRPr="00D54BB7">
        <w:rPr>
          <w:lang w:val="en-US"/>
        </w:rPr>
        <w:t xml:space="preserve">, </w:t>
      </w:r>
      <w:r w:rsidRPr="00D54BB7">
        <w:rPr>
          <w:i/>
          <w:iCs/>
          <w:lang w:val="en-US"/>
        </w:rPr>
        <w:t xml:space="preserve">CP </w:t>
      </w:r>
      <w:r w:rsidRPr="00D54BB7">
        <w:rPr>
          <w:lang w:val="en-US"/>
        </w:rPr>
        <w:t xml:space="preserve">laikā var identificēt attiecīgo(-os) mērķa </w:t>
      </w:r>
      <w:r w:rsidRPr="00D54BB7">
        <w:rPr>
          <w:u w:val="single"/>
          <w:lang w:val="en-US"/>
        </w:rPr>
        <w:t xml:space="preserve">analītu(-us) </w:t>
      </w:r>
      <w:r w:rsidRPr="00D54BB7">
        <w:rPr>
          <w:lang w:val="en-US"/>
        </w:rPr>
        <w:t xml:space="preserve">(t. i., </w:t>
      </w:r>
      <w:r w:rsidRPr="00D54BB7">
        <w:rPr>
          <w:u w:val="single"/>
          <w:lang w:val="en-US"/>
        </w:rPr>
        <w:t>vielu, kas nav sliekšņa viela</w:t>
      </w:r>
      <w:r w:rsidRPr="00D54BB7">
        <w:rPr>
          <w:lang w:val="en-US"/>
        </w:rPr>
        <w:t xml:space="preserve">, un/vai tās attiecīgo(-os) </w:t>
      </w:r>
      <w:r w:rsidRPr="00D54BB7">
        <w:rPr>
          <w:i/>
          <w:iCs/>
          <w:lang w:val="en-US"/>
        </w:rPr>
        <w:t>metabolītu(-us)</w:t>
      </w:r>
      <w:r w:rsidRPr="00D54BB7">
        <w:rPr>
          <w:lang w:val="en-US"/>
        </w:rPr>
        <w:t xml:space="preserve">, </w:t>
      </w:r>
      <w:r w:rsidRPr="00D54BB7">
        <w:rPr>
          <w:i/>
          <w:iCs/>
          <w:lang w:val="en-US"/>
        </w:rPr>
        <w:t xml:space="preserve">marķieri(-us) </w:t>
      </w:r>
      <w:r w:rsidRPr="00D54BB7">
        <w:rPr>
          <w:lang w:val="en-US"/>
        </w:rPr>
        <w:t xml:space="preserve">vai noārdīšanās produktus) saskaņā ar </w:t>
      </w:r>
      <w:r w:rsidRPr="00D54BB7">
        <w:rPr>
          <w:i/>
          <w:iCs/>
          <w:lang w:val="en-US"/>
        </w:rPr>
        <w:t>TD IDCR</w:t>
      </w:r>
      <w:r w:rsidRPr="00D54BB7">
        <w:rPr>
          <w:vertAlign w:val="superscript"/>
          <w:lang w:val="en-US"/>
        </w:rPr>
        <w:t>[7]</w:t>
      </w:r>
      <w:r w:rsidRPr="00D54BB7">
        <w:rPr>
          <w:lang w:val="en-US"/>
        </w:rPr>
        <w:t>.</w:t>
      </w:r>
    </w:p>
    <w:p w14:paraId="11374D7C" w14:textId="77777777" w:rsidR="00D54BB7" w:rsidRPr="00D54BB7" w:rsidRDefault="00D54BB7" w:rsidP="00D54BB7">
      <w:pPr>
        <w:pStyle w:val="BodyText"/>
        <w:numPr>
          <w:ilvl w:val="2"/>
          <w:numId w:val="14"/>
        </w:numPr>
        <w:tabs>
          <w:tab w:val="left" w:pos="851"/>
        </w:tabs>
        <w:ind w:left="284" w:firstLine="0"/>
        <w:rPr>
          <w:lang w:val="en-US"/>
        </w:rPr>
      </w:pPr>
      <w:r w:rsidRPr="00D54BB7">
        <w:rPr>
          <w:lang w:val="en-US"/>
        </w:rPr>
        <w:t xml:space="preserve">Metodes validācijas laikā </w:t>
      </w:r>
      <w:r w:rsidRPr="00D54BB7">
        <w:rPr>
          <w:u w:val="single"/>
          <w:lang w:val="en-US"/>
        </w:rPr>
        <w:t xml:space="preserve">laboratorija </w:t>
      </w:r>
      <w:r w:rsidRPr="00D54BB7">
        <w:rPr>
          <w:lang w:val="en-US"/>
        </w:rPr>
        <w:t xml:space="preserve">aprēķina </w:t>
      </w:r>
      <w:r w:rsidRPr="00D54BB7">
        <w:rPr>
          <w:i/>
          <w:iCs/>
          <w:u w:val="single"/>
          <w:lang w:val="en-US"/>
        </w:rPr>
        <w:t xml:space="preserve">CP </w:t>
      </w:r>
      <w:r w:rsidRPr="00D54BB7">
        <w:rPr>
          <w:u w:val="single"/>
          <w:lang w:val="en-US"/>
        </w:rPr>
        <w:t xml:space="preserve">identifikācijas robežu </w:t>
      </w:r>
      <w:r w:rsidRPr="00D54BB7">
        <w:rPr>
          <w:lang w:val="en-US"/>
        </w:rPr>
        <w:t>(</w:t>
      </w:r>
      <w:r w:rsidRPr="00D54BB7">
        <w:rPr>
          <w:i/>
          <w:iCs/>
          <w:u w:val="single"/>
          <w:lang w:val="en-US"/>
        </w:rPr>
        <w:t>LOI</w:t>
      </w:r>
      <w:r w:rsidRPr="00D54BB7">
        <w:rPr>
          <w:lang w:val="en-US"/>
        </w:rPr>
        <w:t xml:space="preserve">) mērķa </w:t>
      </w:r>
      <w:r w:rsidRPr="00D54BB7">
        <w:rPr>
          <w:u w:val="single"/>
          <w:lang w:val="en-US"/>
        </w:rPr>
        <w:t>analītam</w:t>
      </w:r>
      <w:r w:rsidRPr="00D54BB7">
        <w:rPr>
          <w:lang w:val="en-US"/>
        </w:rPr>
        <w:t xml:space="preserve">, kuram ir pieejams </w:t>
      </w:r>
      <w:r w:rsidRPr="00D54BB7">
        <w:rPr>
          <w:u w:val="single"/>
          <w:lang w:val="en-US"/>
        </w:rPr>
        <w:t>atsauces materiāls</w:t>
      </w:r>
      <w:r w:rsidRPr="00D54BB7">
        <w:rPr>
          <w:lang w:val="en-US"/>
        </w:rPr>
        <w:t>, ar ne vairāk kā 5 % kļūdaini negatīvu identifikācijas rādītāju.</w:t>
      </w:r>
    </w:p>
    <w:p w14:paraId="11A447D2" w14:textId="77777777" w:rsidR="00D54BB7" w:rsidRPr="00D54BB7" w:rsidRDefault="00D54BB7" w:rsidP="00D54BB7">
      <w:pPr>
        <w:pStyle w:val="BodyText"/>
        <w:numPr>
          <w:ilvl w:val="2"/>
          <w:numId w:val="14"/>
        </w:numPr>
        <w:tabs>
          <w:tab w:val="left" w:pos="851"/>
        </w:tabs>
        <w:ind w:left="284" w:firstLine="0"/>
        <w:rPr>
          <w:lang w:val="en-US"/>
        </w:rPr>
      </w:pPr>
      <w:r w:rsidRPr="00D54BB7">
        <w:rPr>
          <w:i/>
          <w:u w:val="single"/>
          <w:lang w:val="en-US"/>
        </w:rPr>
        <w:t xml:space="preserve">LOI </w:t>
      </w:r>
      <w:r w:rsidRPr="00D54BB7">
        <w:rPr>
          <w:lang w:val="en-US"/>
        </w:rPr>
        <w:t xml:space="preserve">jābūt zemākai (&lt;) par piemērojamo </w:t>
      </w:r>
      <w:r w:rsidRPr="00D54BB7">
        <w:rPr>
          <w:i/>
          <w:u w:val="single"/>
          <w:lang w:val="en-US"/>
        </w:rPr>
        <w:t>MRPL</w:t>
      </w:r>
      <w:r w:rsidRPr="00D54BB7">
        <w:rPr>
          <w:lang w:val="en-US"/>
        </w:rPr>
        <w:t>.</w:t>
      </w:r>
    </w:p>
    <w:p w14:paraId="6663F87C" w14:textId="77777777" w:rsidR="00D54BB7" w:rsidRPr="00D54BB7" w:rsidRDefault="00D54BB7" w:rsidP="00D54BB7">
      <w:pPr>
        <w:pStyle w:val="Heading2"/>
        <w:tabs>
          <w:tab w:val="left" w:pos="1288"/>
        </w:tabs>
        <w:ind w:left="851"/>
        <w:jc w:val="both"/>
        <w:rPr>
          <w:rFonts w:ascii="Times New Roman" w:hAnsi="Times New Roman" w:cs="Times New Roman"/>
          <w:noProof/>
          <w:lang w:val="en-US"/>
        </w:rPr>
      </w:pPr>
      <w:r w:rsidRPr="00D54BB7">
        <w:rPr>
          <w:rFonts w:ascii="Times New Roman" w:hAnsi="Times New Roman"/>
          <w:noProof/>
          <w:lang w:val="en-US"/>
        </w:rPr>
        <w:t xml:space="preserve">4) </w:t>
      </w:r>
      <w:r w:rsidRPr="00D54BB7">
        <w:rPr>
          <w:rFonts w:ascii="Times New Roman" w:hAnsi="Times New Roman"/>
          <w:i/>
          <w:iCs/>
          <w:noProof/>
          <w:lang w:val="en-US"/>
        </w:rPr>
        <w:t xml:space="preserve">LOI </w:t>
      </w:r>
      <w:r w:rsidRPr="00D54BB7">
        <w:rPr>
          <w:rFonts w:ascii="Times New Roman" w:hAnsi="Times New Roman"/>
          <w:noProof/>
          <w:lang w:val="en-US"/>
        </w:rPr>
        <w:t xml:space="preserve">&lt; </w:t>
      </w:r>
      <w:r w:rsidRPr="00D54BB7">
        <w:rPr>
          <w:rFonts w:ascii="Times New Roman" w:hAnsi="Times New Roman"/>
          <w:i/>
          <w:iCs/>
          <w:noProof/>
          <w:lang w:val="en-US"/>
        </w:rPr>
        <w:t>MRPL</w:t>
      </w:r>
    </w:p>
    <w:p w14:paraId="2440ABE7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i/>
          <w:noProof/>
          <w:sz w:val="24"/>
          <w:szCs w:val="24"/>
          <w:lang w:val="en-US"/>
        </w:rPr>
      </w:pPr>
    </w:p>
    <w:p w14:paraId="600F8440" w14:textId="77777777" w:rsidR="00D54BB7" w:rsidRPr="00D54BB7" w:rsidRDefault="00D54BB7" w:rsidP="00D54BB7">
      <w:pPr>
        <w:tabs>
          <w:tab w:val="left" w:pos="851"/>
        </w:tabs>
        <w:ind w:left="284"/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[Piezīme. Kokaīna (sākumsavienojuma) </w:t>
      </w:r>
      <w:r w:rsidRPr="00D54BB7">
        <w:rPr>
          <w:rFonts w:ascii="Times New Roman" w:hAnsi="Times New Roman"/>
          <w:i/>
          <w:noProof/>
          <w:sz w:val="24"/>
          <w:u w:val="single" w:color="000000"/>
          <w:lang w:val="en-US"/>
        </w:rPr>
        <w:t xml:space="preserve">LOI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jābūt mazākai vai vienādai ar (≤) 1 ng/ml. </w:t>
      </w:r>
      <w:r w:rsidRPr="00D54BB7">
        <w:rPr>
          <w:rFonts w:ascii="Times New Roman" w:hAnsi="Times New Roman"/>
          <w:i/>
          <w:noProof/>
          <w:sz w:val="24"/>
          <w:u w:val="single" w:color="000000"/>
          <w:lang w:val="en-US"/>
        </w:rPr>
        <w:t xml:space="preserve">Laboratorija </w:t>
      </w:r>
      <w:r w:rsidRPr="00D54BB7">
        <w:rPr>
          <w:rFonts w:ascii="Times New Roman" w:hAnsi="Times New Roman"/>
          <w:i/>
          <w:noProof/>
          <w:sz w:val="24"/>
          <w:lang w:val="en-US"/>
        </w:rPr>
        <w:t>apstiprina kokaīna klātbūtni paraugā, ja:</w:t>
      </w:r>
    </w:p>
    <w:p w14:paraId="4E516217" w14:textId="77777777" w:rsidR="00D54BB7" w:rsidRPr="00D54BB7" w:rsidRDefault="00D54BB7" w:rsidP="00D54BB7">
      <w:pPr>
        <w:numPr>
          <w:ilvl w:val="1"/>
          <w:numId w:val="13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i/>
          <w:noProof/>
          <w:sz w:val="24"/>
          <w:lang w:val="en-US"/>
        </w:rPr>
      </w:pPr>
      <w:r w:rsidRPr="00D54BB7">
        <w:rPr>
          <w:rFonts w:ascii="Times New Roman" w:hAnsi="Times New Roman"/>
          <w:i/>
          <w:noProof/>
          <w:sz w:val="24"/>
          <w:lang w:val="en-US"/>
        </w:rPr>
        <w:t>kokaīns ir koncentrācijā, kas pārsniedz (&gt;) 10 ng/ml, un/vai</w:t>
      </w:r>
    </w:p>
    <w:p w14:paraId="232CFA34" w14:textId="77777777" w:rsidR="00D54BB7" w:rsidRPr="00D54BB7" w:rsidRDefault="00D54BB7" w:rsidP="00D54BB7">
      <w:pPr>
        <w:numPr>
          <w:ilvl w:val="1"/>
          <w:numId w:val="13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i/>
          <w:noProof/>
          <w:sz w:val="24"/>
          <w:lang w:val="en-US"/>
        </w:rPr>
      </w:pPr>
      <w:r w:rsidRPr="00D54BB7">
        <w:rPr>
          <w:rFonts w:ascii="Times New Roman" w:hAnsi="Times New Roman"/>
          <w:i/>
          <w:noProof/>
          <w:sz w:val="24"/>
          <w:lang w:val="en-US"/>
        </w:rPr>
        <w:t>benzoilekgonīns ir koncentrācijā, kas pārsniedz (&gt;) 50 ng/ml.]</w:t>
      </w:r>
    </w:p>
    <w:p w14:paraId="0F875B4F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i/>
          <w:noProof/>
          <w:sz w:val="24"/>
          <w:szCs w:val="24"/>
          <w:lang w:val="en-US"/>
        </w:rPr>
      </w:pPr>
    </w:p>
    <w:p w14:paraId="56C6A4F0" w14:textId="77777777" w:rsidR="00D54BB7" w:rsidRPr="00D54BB7" w:rsidRDefault="00D54BB7" w:rsidP="00D54BB7">
      <w:pPr>
        <w:pStyle w:val="Heading1"/>
        <w:tabs>
          <w:tab w:val="left" w:pos="515"/>
        </w:tabs>
        <w:ind w:left="0" w:firstLine="0"/>
        <w:jc w:val="both"/>
        <w:rPr>
          <w:rFonts w:ascii="Times New Roman" w:hAnsi="Times New Roman" w:cs="Times New Roman"/>
          <w:noProof/>
          <w:u w:val="thick" w:color="000000"/>
          <w:lang w:val="en-US"/>
        </w:rPr>
      </w:pPr>
      <w:r w:rsidRPr="00D54BB7">
        <w:rPr>
          <w:rFonts w:ascii="Times New Roman" w:hAnsi="Times New Roman"/>
          <w:noProof/>
          <w:u w:val="none"/>
          <w:lang w:val="en-US"/>
        </w:rPr>
        <w:t xml:space="preserve">5.0. Ziņošana par atradēm attiecībā uz </w:t>
      </w:r>
      <w:r w:rsidRPr="00D54BB7">
        <w:rPr>
          <w:rFonts w:ascii="Times New Roman" w:hAnsi="Times New Roman"/>
          <w:noProof/>
          <w:lang w:val="en-US"/>
        </w:rPr>
        <w:t>vielām, kas nav sliekšņa vielas</w:t>
      </w:r>
    </w:p>
    <w:p w14:paraId="1DB270B8" w14:textId="77777777" w:rsidR="00D54BB7" w:rsidRPr="00D54BB7" w:rsidRDefault="00D54BB7" w:rsidP="00D54BB7">
      <w:pPr>
        <w:pStyle w:val="Heading1"/>
        <w:tabs>
          <w:tab w:val="left" w:pos="515"/>
        </w:tabs>
        <w:ind w:left="0" w:firstLine="0"/>
        <w:jc w:val="both"/>
        <w:rPr>
          <w:rFonts w:ascii="Times New Roman" w:hAnsi="Times New Roman" w:cs="Times New Roman"/>
          <w:b w:val="0"/>
          <w:bCs w:val="0"/>
          <w:noProof/>
          <w:u w:val="none"/>
          <w:lang w:val="en-US"/>
        </w:rPr>
      </w:pPr>
    </w:p>
    <w:p w14:paraId="619AFB0A" w14:textId="77777777" w:rsidR="00D54BB7" w:rsidRPr="00D54BB7" w:rsidRDefault="00D54BB7" w:rsidP="00D54BB7">
      <w:pPr>
        <w:numPr>
          <w:ilvl w:val="2"/>
          <w:numId w:val="12"/>
        </w:numPr>
        <w:tabs>
          <w:tab w:val="left" w:pos="851"/>
        </w:tabs>
        <w:ind w:left="284" w:firstLine="0"/>
        <w:jc w:val="both"/>
        <w:rPr>
          <w:rFonts w:ascii="Times New Roman" w:hAnsi="Times New Roman"/>
          <w:b/>
          <w:bCs/>
          <w:noProof/>
          <w:sz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Par </w:t>
      </w:r>
      <w:r w:rsidRPr="00D54BB7">
        <w:rPr>
          <w:rFonts w:ascii="Times New Roman" w:hAnsi="Times New Roman"/>
          <w:noProof/>
          <w:sz w:val="24"/>
          <w:u w:val="single"/>
          <w:lang w:val="en-US"/>
        </w:rPr>
        <w:t>vielas, kas nav sliekšņa viela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, vai jebkura attiecīgā(-o) tās </w:t>
      </w:r>
      <w:r w:rsidRPr="00D54BB7">
        <w:rPr>
          <w:rFonts w:ascii="Times New Roman" w:hAnsi="Times New Roman"/>
          <w:i/>
          <w:iCs/>
          <w:noProof/>
          <w:sz w:val="24"/>
          <w:lang w:val="en-US"/>
        </w:rPr>
        <w:t>metabolīta(-u)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, </w:t>
      </w:r>
      <w:r w:rsidRPr="00D54BB7">
        <w:rPr>
          <w:rFonts w:ascii="Times New Roman" w:hAnsi="Times New Roman"/>
          <w:i/>
          <w:iCs/>
          <w:noProof/>
          <w:sz w:val="24"/>
          <w:lang w:val="en-US"/>
        </w:rPr>
        <w:t xml:space="preserve">marķiera(-u) 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vai noārdīšanās produktu apstiprinātu identificēšanu jebkurā koncentrācijā ziņo kā par </w:t>
      </w:r>
      <w:r w:rsidRPr="00D54BB7">
        <w:rPr>
          <w:rFonts w:ascii="Times New Roman" w:hAnsi="Times New Roman"/>
          <w:i/>
          <w:iCs/>
          <w:noProof/>
          <w:sz w:val="24"/>
          <w:lang w:val="en-US"/>
        </w:rPr>
        <w:t>AAF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; </w:t>
      </w:r>
      <w:r w:rsidRPr="00D54BB7">
        <w:rPr>
          <w:rFonts w:ascii="Times New Roman" w:hAnsi="Times New Roman"/>
          <w:b/>
          <w:bCs/>
          <w:noProof/>
          <w:sz w:val="24"/>
          <w:lang w:val="en-US"/>
        </w:rPr>
        <w:t xml:space="preserve">izņēmums ir attiecināms uz tām vielām, kurām ir noteikts </w:t>
      </w:r>
      <w:r w:rsidRPr="00D54BB7">
        <w:rPr>
          <w:rFonts w:ascii="Times New Roman" w:hAnsi="Times New Roman"/>
          <w:b/>
          <w:bCs/>
          <w:i/>
          <w:iCs/>
          <w:noProof/>
          <w:sz w:val="24"/>
          <w:lang w:val="en-US"/>
        </w:rPr>
        <w:t>MRL</w:t>
      </w:r>
      <w:r w:rsidRPr="00D54BB7">
        <w:rPr>
          <w:rFonts w:ascii="Times New Roman" w:hAnsi="Times New Roman"/>
          <w:b/>
          <w:bCs/>
          <w:noProof/>
          <w:sz w:val="24"/>
          <w:lang w:val="en-US"/>
        </w:rPr>
        <w:t>, kā norādīts 1. tabulā.</w:t>
      </w:r>
    </w:p>
    <w:p w14:paraId="119D9151" w14:textId="77777777" w:rsidR="00D54BB7" w:rsidRPr="00D54BB7" w:rsidRDefault="00D54BB7" w:rsidP="00D54BB7">
      <w:pPr>
        <w:pStyle w:val="BodyText"/>
        <w:numPr>
          <w:ilvl w:val="2"/>
          <w:numId w:val="12"/>
        </w:numPr>
        <w:tabs>
          <w:tab w:val="left" w:pos="851"/>
        </w:tabs>
        <w:ind w:left="284" w:firstLine="0"/>
        <w:rPr>
          <w:lang w:val="en-US"/>
        </w:rPr>
      </w:pPr>
      <w:r w:rsidRPr="00D54BB7">
        <w:rPr>
          <w:lang w:val="en-US"/>
        </w:rPr>
        <w:t xml:space="preserve">Par atradi attiecībā uz </w:t>
      </w:r>
      <w:r w:rsidRPr="00D54BB7">
        <w:rPr>
          <w:u w:val="single"/>
          <w:lang w:val="en-US"/>
        </w:rPr>
        <w:t xml:space="preserve">vielu, kas nav sliekšņa viela </w:t>
      </w:r>
      <w:r w:rsidRPr="00D54BB7">
        <w:rPr>
          <w:lang w:val="en-US"/>
        </w:rPr>
        <w:t xml:space="preserve">un kurai nav noteikts </w:t>
      </w:r>
      <w:r w:rsidRPr="00D54BB7">
        <w:rPr>
          <w:i/>
          <w:iCs/>
          <w:lang w:val="en-US"/>
        </w:rPr>
        <w:t>MRL</w:t>
      </w:r>
      <w:r w:rsidRPr="00D54BB7">
        <w:rPr>
          <w:lang w:val="en-US"/>
        </w:rPr>
        <w:t xml:space="preserve">, paziņo kā par </w:t>
      </w:r>
      <w:r w:rsidRPr="00D54BB7">
        <w:rPr>
          <w:i/>
          <w:iCs/>
          <w:lang w:val="en-US"/>
        </w:rPr>
        <w:t>AAF</w:t>
      </w:r>
      <w:r w:rsidRPr="00D54BB7">
        <w:rPr>
          <w:lang w:val="en-US"/>
        </w:rPr>
        <w:t xml:space="preserve">, ja </w:t>
      </w:r>
      <w:r w:rsidRPr="00D54BB7">
        <w:rPr>
          <w:i/>
          <w:iCs/>
          <w:lang w:val="en-US"/>
        </w:rPr>
        <w:t xml:space="preserve">paraugā </w:t>
      </w:r>
      <w:r w:rsidRPr="00D54BB7">
        <w:rPr>
          <w:lang w:val="en-US"/>
        </w:rPr>
        <w:t>(</w:t>
      </w:r>
      <w:r w:rsidRPr="00D54BB7">
        <w:rPr>
          <w:i/>
          <w:iCs/>
          <w:lang w:val="en-US"/>
        </w:rPr>
        <w:t xml:space="preserve">parauga </w:t>
      </w:r>
      <w:r w:rsidRPr="00D54BB7">
        <w:rPr>
          <w:lang w:val="en-US"/>
        </w:rPr>
        <w:t xml:space="preserve">“A” vai “B” daļā) esošā(-o) mērķa </w:t>
      </w:r>
      <w:r w:rsidRPr="00D54BB7">
        <w:rPr>
          <w:u w:val="single"/>
          <w:lang w:val="en-US"/>
        </w:rPr>
        <w:t xml:space="preserve">analīta(-u) </w:t>
      </w:r>
      <w:r w:rsidRPr="00D54BB7">
        <w:rPr>
          <w:lang w:val="en-US"/>
        </w:rPr>
        <w:t xml:space="preserve">klātbūtne ir apstiprināta saskaņā ar </w:t>
      </w:r>
      <w:r w:rsidRPr="00D54BB7">
        <w:rPr>
          <w:i/>
          <w:iCs/>
          <w:lang w:val="en-US"/>
        </w:rPr>
        <w:t>TD IDCR</w:t>
      </w:r>
      <w:r w:rsidRPr="00D54BB7">
        <w:rPr>
          <w:vertAlign w:val="superscript"/>
          <w:lang w:val="en-US"/>
        </w:rPr>
        <w:t>[7]</w:t>
      </w:r>
      <w:r w:rsidRPr="00D54BB7">
        <w:rPr>
          <w:lang w:val="en-US"/>
        </w:rPr>
        <w:t xml:space="preserve">. Mērķa </w:t>
      </w:r>
      <w:r w:rsidRPr="00D54BB7">
        <w:rPr>
          <w:u w:val="single"/>
          <w:lang w:val="en-US"/>
        </w:rPr>
        <w:t xml:space="preserve">analīta(-u) </w:t>
      </w:r>
      <w:r w:rsidRPr="00D54BB7">
        <w:rPr>
          <w:lang w:val="en-US"/>
        </w:rPr>
        <w:t>koncentrācijas vērtību kvantitatīva noteikšana vai aplēšana nav nepieciešama.</w:t>
      </w:r>
    </w:p>
    <w:p w14:paraId="64DC8C5E" w14:textId="77777777" w:rsidR="00D54BB7" w:rsidRPr="00D54BB7" w:rsidRDefault="00D54BB7" w:rsidP="00D54BB7">
      <w:pPr>
        <w:jc w:val="both"/>
        <w:rPr>
          <w:noProof/>
          <w:lang w:val="en-US"/>
        </w:rPr>
      </w:pPr>
    </w:p>
    <w:p w14:paraId="7C01D7F9" w14:textId="77777777" w:rsidR="00D54BB7" w:rsidRPr="00D54BB7" w:rsidRDefault="00D54BB7" w:rsidP="00D54BB7">
      <w:pPr>
        <w:ind w:left="284"/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[Piezīme. Atzīst, ka dažas </w:t>
      </w:r>
      <w:r w:rsidRPr="00D54BB7">
        <w:rPr>
          <w:rFonts w:ascii="Times New Roman" w:hAnsi="Times New Roman"/>
          <w:i/>
          <w:noProof/>
          <w:sz w:val="24"/>
          <w:u w:val="single"/>
          <w:lang w:val="en-US"/>
        </w:rPr>
        <w:t xml:space="preserve">laboratorijas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spēs identificēt šīs </w:t>
      </w:r>
      <w:r w:rsidRPr="00D54BB7">
        <w:rPr>
          <w:rFonts w:ascii="Times New Roman" w:hAnsi="Times New Roman"/>
          <w:i/>
          <w:noProof/>
          <w:sz w:val="24"/>
          <w:u w:val="single"/>
          <w:lang w:val="en-US"/>
        </w:rPr>
        <w:t>vielas, kas nav sliekšņa vielas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, zemākā koncentrācijā nekā to spēs darīt citas </w:t>
      </w:r>
      <w:r w:rsidRPr="00D54BB7">
        <w:rPr>
          <w:rFonts w:ascii="Times New Roman" w:hAnsi="Times New Roman"/>
          <w:i/>
          <w:noProof/>
          <w:sz w:val="24"/>
          <w:u w:val="single"/>
          <w:lang w:val="en-US"/>
        </w:rPr>
        <w:t>laboratorijas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, un ziņot par tām. Lai gan nolūkā uzlabot sistēmu kopumā šādas atsevišķas spējas ir atbalstāmas, līdztekus atzīst, ka ir kāds noteikšanas spēju parastais minimums (atbilstoši attiecīgajiem </w:t>
      </w:r>
      <w:r w:rsidRPr="00D54BB7">
        <w:rPr>
          <w:rFonts w:ascii="Times New Roman" w:hAnsi="Times New Roman"/>
          <w:i/>
          <w:noProof/>
          <w:sz w:val="24"/>
          <w:u w:val="single"/>
          <w:lang w:val="en-US"/>
        </w:rPr>
        <w:t>MRPL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), kas jāievēro visām </w:t>
      </w:r>
      <w:r w:rsidRPr="00D54BB7">
        <w:rPr>
          <w:rFonts w:ascii="Times New Roman" w:hAnsi="Times New Roman"/>
          <w:i/>
          <w:noProof/>
          <w:sz w:val="24"/>
          <w:u w:val="single"/>
          <w:lang w:val="en-US"/>
        </w:rPr>
        <w:t>laboratorijām</w:t>
      </w:r>
      <w:r w:rsidRPr="00D54BB7">
        <w:rPr>
          <w:rFonts w:ascii="Times New Roman" w:hAnsi="Times New Roman"/>
          <w:i/>
          <w:noProof/>
          <w:sz w:val="24"/>
          <w:lang w:val="en-US"/>
        </w:rPr>
        <w:t>.]</w:t>
      </w:r>
    </w:p>
    <w:p w14:paraId="6DC765E3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i/>
          <w:noProof/>
          <w:sz w:val="24"/>
          <w:szCs w:val="24"/>
          <w:lang w:val="en-US"/>
        </w:rPr>
      </w:pPr>
    </w:p>
    <w:p w14:paraId="159CAE2D" w14:textId="77777777" w:rsidR="00D54BB7" w:rsidRPr="00D54BB7" w:rsidRDefault="00D54BB7" w:rsidP="00D54BB7">
      <w:pPr>
        <w:pStyle w:val="BodyText"/>
        <w:numPr>
          <w:ilvl w:val="2"/>
          <w:numId w:val="12"/>
        </w:numPr>
        <w:tabs>
          <w:tab w:val="left" w:pos="851"/>
        </w:tabs>
        <w:ind w:left="284" w:firstLine="0"/>
        <w:rPr>
          <w:lang w:val="en-US"/>
        </w:rPr>
      </w:pPr>
      <w:r w:rsidRPr="00D54BB7">
        <w:rPr>
          <w:lang w:val="en-US"/>
        </w:rPr>
        <w:t xml:space="preserve">Par atradēm, kuras attiecas uz </w:t>
      </w:r>
      <w:r w:rsidRPr="00D54BB7">
        <w:rPr>
          <w:u w:val="single"/>
          <w:lang w:val="en-US"/>
        </w:rPr>
        <w:t xml:space="preserve">vielām, kas nav sliekšņa vielas </w:t>
      </w:r>
      <w:r w:rsidRPr="00D54BB7">
        <w:rPr>
          <w:lang w:val="en-US"/>
        </w:rPr>
        <w:t xml:space="preserve">un kurām ir noteikts </w:t>
      </w:r>
      <w:r w:rsidRPr="00D54BB7">
        <w:rPr>
          <w:i/>
          <w:iCs/>
          <w:lang w:val="en-US"/>
        </w:rPr>
        <w:t>MRL</w:t>
      </w:r>
      <w:r w:rsidRPr="00D54BB7">
        <w:rPr>
          <w:lang w:val="en-US"/>
        </w:rPr>
        <w:t xml:space="preserve">, paziņo kā par </w:t>
      </w:r>
      <w:r w:rsidRPr="00D54BB7">
        <w:rPr>
          <w:i/>
          <w:iCs/>
          <w:lang w:val="en-US"/>
        </w:rPr>
        <w:t>AAF</w:t>
      </w:r>
      <w:r w:rsidRPr="00D54BB7">
        <w:rPr>
          <w:lang w:val="en-US"/>
        </w:rPr>
        <w:t xml:space="preserve">, ja attiecīgā(-o) mērķa(-u) </w:t>
      </w:r>
      <w:r w:rsidRPr="00D54BB7">
        <w:rPr>
          <w:u w:val="single"/>
          <w:lang w:val="en-US"/>
        </w:rPr>
        <w:t xml:space="preserve">analīta(-u) </w:t>
      </w:r>
      <w:r w:rsidRPr="00D54BB7">
        <w:rPr>
          <w:lang w:val="en-US"/>
        </w:rPr>
        <w:t xml:space="preserve">klātbūtne ir apstiprināta </w:t>
      </w:r>
      <w:r w:rsidRPr="00D54BB7">
        <w:rPr>
          <w:i/>
          <w:iCs/>
          <w:lang w:val="en-US"/>
        </w:rPr>
        <w:t xml:space="preserve">parauga </w:t>
      </w:r>
      <w:r w:rsidRPr="00D54BB7">
        <w:rPr>
          <w:lang w:val="en-US"/>
        </w:rPr>
        <w:t>“A” daļā aprēķinātā koncentrācijā (nepieciešamības gadījumā koriģējot to atbilstoši īpatnējam svaram (</w:t>
      </w:r>
      <w:r w:rsidRPr="00D54BB7">
        <w:rPr>
          <w:i/>
          <w:iCs/>
          <w:lang w:val="en-US"/>
        </w:rPr>
        <w:t>SG</w:t>
      </w:r>
      <w:r w:rsidRPr="00D54BB7">
        <w:rPr>
          <w:lang w:val="en-US"/>
        </w:rPr>
        <w:t xml:space="preserve">)), kas ir lielāka par (&gt;) atbilstošo </w:t>
      </w:r>
      <w:r w:rsidRPr="00D54BB7">
        <w:rPr>
          <w:i/>
          <w:iCs/>
          <w:lang w:val="en-US"/>
        </w:rPr>
        <w:t>MRL</w:t>
      </w:r>
      <w:r w:rsidRPr="00D54BB7">
        <w:rPr>
          <w:lang w:val="en-US"/>
        </w:rPr>
        <w:t xml:space="preserve">. Par šādām atradēm nav jāziņo kā par </w:t>
      </w:r>
      <w:r w:rsidRPr="00D54BB7">
        <w:rPr>
          <w:i/>
          <w:lang w:val="en-US"/>
        </w:rPr>
        <w:t>AAF</w:t>
      </w:r>
      <w:r w:rsidRPr="00D54BB7">
        <w:rPr>
          <w:lang w:val="en-US"/>
        </w:rPr>
        <w:t>, ja aprēķinātā koncentrācija (kas nepieciešamības gadījumā koriģēta atbilstoši īpatnējam svaram (</w:t>
      </w:r>
      <w:r w:rsidRPr="00D54BB7">
        <w:rPr>
          <w:i/>
          <w:lang w:val="en-US"/>
        </w:rPr>
        <w:t>SG</w:t>
      </w:r>
      <w:r w:rsidRPr="00D54BB7">
        <w:rPr>
          <w:lang w:val="en-US"/>
        </w:rPr>
        <w:t xml:space="preserve">)) ir mazāka vai vienāda (≤) ar atbilstošo </w:t>
      </w:r>
      <w:r w:rsidRPr="00D54BB7">
        <w:rPr>
          <w:i/>
          <w:lang w:val="en-US"/>
        </w:rPr>
        <w:t>MRL.</w:t>
      </w:r>
    </w:p>
    <w:p w14:paraId="36D2BFCD" w14:textId="77777777" w:rsidR="00D54BB7" w:rsidRPr="00D54BB7" w:rsidRDefault="00D54BB7" w:rsidP="00D54BB7">
      <w:pPr>
        <w:pStyle w:val="BodyText"/>
        <w:numPr>
          <w:ilvl w:val="2"/>
          <w:numId w:val="12"/>
        </w:numPr>
        <w:tabs>
          <w:tab w:val="left" w:pos="851"/>
        </w:tabs>
        <w:ind w:left="284" w:firstLine="0"/>
        <w:rPr>
          <w:lang w:val="en-US"/>
        </w:rPr>
      </w:pPr>
      <w:r w:rsidRPr="00D54BB7">
        <w:rPr>
          <w:lang w:val="en-US"/>
        </w:rPr>
        <w:t xml:space="preserve">Attiecībā uz urīna </w:t>
      </w:r>
      <w:r w:rsidRPr="00D54BB7">
        <w:rPr>
          <w:i/>
          <w:iCs/>
          <w:lang w:val="en-US"/>
        </w:rPr>
        <w:t xml:space="preserve">paraugu </w:t>
      </w:r>
      <w:r w:rsidRPr="00D54BB7">
        <w:rPr>
          <w:lang w:val="en-US"/>
        </w:rPr>
        <w:t xml:space="preserve">“A” daļām, kuru </w:t>
      </w:r>
      <w:r w:rsidRPr="00D54BB7">
        <w:rPr>
          <w:i/>
          <w:iCs/>
          <w:lang w:val="en-US"/>
        </w:rPr>
        <w:t>SG</w:t>
      </w:r>
      <w:r w:rsidRPr="00D54BB7">
        <w:rPr>
          <w:i/>
          <w:iCs/>
          <w:vertAlign w:val="subscript"/>
          <w:lang w:val="en-US"/>
        </w:rPr>
        <w:t>Paraugs</w:t>
      </w:r>
      <w:r w:rsidRPr="00D54BB7">
        <w:rPr>
          <w:lang w:val="en-US"/>
        </w:rPr>
        <w:t xml:space="preserve"> &gt; 1,018, </w:t>
      </w:r>
      <w:r w:rsidRPr="00D54BB7">
        <w:rPr>
          <w:u w:val="single"/>
          <w:lang w:val="en-US"/>
        </w:rPr>
        <w:t xml:space="preserve">vielu, kas nav sliekšņa vielas </w:t>
      </w:r>
      <w:r w:rsidRPr="00D54BB7">
        <w:rPr>
          <w:lang w:val="en-US"/>
        </w:rPr>
        <w:t xml:space="preserve">un kurām ir noteikts </w:t>
      </w:r>
      <w:r w:rsidRPr="00D54BB7">
        <w:rPr>
          <w:i/>
          <w:iCs/>
          <w:lang w:val="en-US"/>
        </w:rPr>
        <w:t>MRL</w:t>
      </w:r>
      <w:r w:rsidRPr="00D54BB7">
        <w:rPr>
          <w:lang w:val="en-US"/>
        </w:rPr>
        <w:t xml:space="preserve">, aprēķināto mērķa </w:t>
      </w:r>
      <w:r w:rsidRPr="00D54BB7">
        <w:rPr>
          <w:u w:val="single"/>
          <w:lang w:val="en-US"/>
        </w:rPr>
        <w:t xml:space="preserve">analīta(-u) </w:t>
      </w:r>
      <w:r w:rsidRPr="00D54BB7">
        <w:rPr>
          <w:lang w:val="en-US"/>
        </w:rPr>
        <w:t>koncentrāciju koriģē uz SG = 1,020, kā norādīts turpmāk:</w:t>
      </w:r>
    </w:p>
    <w:p w14:paraId="4E14F1F0" w14:textId="77777777" w:rsidR="00D54BB7" w:rsidRPr="00D54BB7" w:rsidRDefault="00D54BB7" w:rsidP="00D54BB7">
      <w:pPr>
        <w:jc w:val="both"/>
        <w:rPr>
          <w:rFonts w:ascii="Times New Roman" w:eastAsia="Cambria Math" w:hAnsi="Times New Roman" w:cs="Times New Roman"/>
          <w:noProof/>
          <w:sz w:val="24"/>
          <w:szCs w:val="24"/>
          <w:lang w:val="en-US"/>
        </w:rPr>
      </w:pPr>
    </w:p>
    <w:p w14:paraId="1492758F" w14:textId="77777777" w:rsidR="00D54BB7" w:rsidRPr="00D54BB7" w:rsidRDefault="00D54BB7" w:rsidP="00D54BB7">
      <w:pPr>
        <w:jc w:val="both"/>
        <w:rPr>
          <w:rFonts w:ascii="Times New Roman" w:eastAsia="Cambria Math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eastAsia="Cambria Math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31272C3F" wp14:editId="46D92B14">
            <wp:extent cx="3524742" cy="543001"/>
            <wp:effectExtent l="0" t="0" r="0" b="952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9"/>
        <w:gridCol w:w="4579"/>
      </w:tblGrid>
      <w:tr w:rsidR="00D54BB7" w:rsidRPr="00D54BB7" w14:paraId="75DDE967" w14:textId="77777777" w:rsidTr="00304A37">
        <w:tc>
          <w:tcPr>
            <w:tcW w:w="2492" w:type="pct"/>
          </w:tcPr>
          <w:p w14:paraId="51B49B9B" w14:textId="77777777" w:rsidR="00D54BB7" w:rsidRPr="00D54BB7" w:rsidRDefault="00D54BB7" w:rsidP="00304A37">
            <w:pPr>
              <w:jc w:val="center"/>
              <w:rPr>
                <w:rFonts w:ascii="Times New Roman" w:hAnsi="Times New Roman"/>
                <w:iCs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iCs/>
                <w:noProof/>
                <w:sz w:val="24"/>
                <w:lang w:val="en-US"/>
              </w:rPr>
              <w:t>Angļu val.</w:t>
            </w:r>
          </w:p>
        </w:tc>
        <w:tc>
          <w:tcPr>
            <w:tcW w:w="2508" w:type="pct"/>
          </w:tcPr>
          <w:p w14:paraId="18C26D0A" w14:textId="77777777" w:rsidR="00D54BB7" w:rsidRPr="00D54BB7" w:rsidRDefault="00D54BB7" w:rsidP="00304A37">
            <w:pPr>
              <w:jc w:val="center"/>
              <w:rPr>
                <w:rFonts w:ascii="Times New Roman" w:eastAsia="Cambria Math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eastAsia="Cambria Math" w:hAnsi="Times New Roman" w:cs="Times New Roman"/>
                <w:noProof/>
                <w:sz w:val="24"/>
                <w:szCs w:val="24"/>
                <w:lang w:val="en-US"/>
              </w:rPr>
              <w:t>Latviešu val.</w:t>
            </w:r>
          </w:p>
        </w:tc>
      </w:tr>
      <w:tr w:rsidR="00D54BB7" w:rsidRPr="00D54BB7" w14:paraId="7F9D774C" w14:textId="77777777" w:rsidTr="00304A37">
        <w:tc>
          <w:tcPr>
            <w:tcW w:w="2492" w:type="pct"/>
          </w:tcPr>
          <w:p w14:paraId="5D500D47" w14:textId="77777777" w:rsidR="00D54BB7" w:rsidRPr="00D54BB7" w:rsidRDefault="00D54BB7" w:rsidP="00304A37">
            <w:pPr>
              <w:jc w:val="both"/>
              <w:rPr>
                <w:rFonts w:ascii="Times New Roman" w:eastAsia="Cambria Math" w:hAnsi="Times New Roman" w:cs="Times New Roman"/>
                <w:i/>
                <w:iCs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eastAsia="Cambria Math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Conc</w:t>
            </w:r>
            <w:r w:rsidRPr="00D54BB7">
              <w:rPr>
                <w:rFonts w:ascii="Times New Roman" w:eastAsia="Cambria Math" w:hAnsi="Times New Roman" w:cs="Times New Roman"/>
                <w:i/>
                <w:iCs/>
                <w:noProof/>
                <w:sz w:val="24"/>
                <w:szCs w:val="24"/>
                <w:vertAlign w:val="subscript"/>
                <w:lang w:val="en-US"/>
              </w:rPr>
              <w:t>adj</w:t>
            </w:r>
          </w:p>
        </w:tc>
        <w:tc>
          <w:tcPr>
            <w:tcW w:w="2508" w:type="pct"/>
          </w:tcPr>
          <w:p w14:paraId="631A362E" w14:textId="77777777" w:rsidR="00D54BB7" w:rsidRPr="00D54BB7" w:rsidRDefault="00D54BB7" w:rsidP="00304A37">
            <w:pPr>
              <w:jc w:val="both"/>
              <w:rPr>
                <w:rFonts w:ascii="Times New Roman" w:eastAsia="Cambria Math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Koncentrācija</w:t>
            </w:r>
            <w:r w:rsidRPr="00D54BB7">
              <w:rPr>
                <w:rFonts w:ascii="Times New Roman" w:hAnsi="Times New Roman"/>
                <w:i/>
                <w:noProof/>
                <w:sz w:val="24"/>
                <w:vertAlign w:val="subscript"/>
                <w:lang w:val="en-US"/>
              </w:rPr>
              <w:t>pielīdzinātā</w:t>
            </w:r>
          </w:p>
        </w:tc>
      </w:tr>
      <w:tr w:rsidR="00D54BB7" w:rsidRPr="00D54BB7" w14:paraId="4233EA9D" w14:textId="77777777" w:rsidTr="00304A37">
        <w:tc>
          <w:tcPr>
            <w:tcW w:w="2492" w:type="pct"/>
          </w:tcPr>
          <w:p w14:paraId="56F690B9" w14:textId="77777777" w:rsidR="00D54BB7" w:rsidRPr="00D54BB7" w:rsidRDefault="00D54BB7" w:rsidP="00304A37">
            <w:pPr>
              <w:jc w:val="both"/>
              <w:rPr>
                <w:rFonts w:ascii="Times New Roman" w:eastAsia="Cambria Math" w:hAnsi="Times New Roman" w:cs="Times New Roman"/>
                <w:i/>
                <w:iCs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eastAsia="Cambria Math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SG</w:t>
            </w:r>
            <w:r w:rsidRPr="00D54BB7">
              <w:rPr>
                <w:rFonts w:ascii="Times New Roman" w:eastAsia="Cambria Math" w:hAnsi="Times New Roman" w:cs="Times New Roman"/>
                <w:i/>
                <w:iCs/>
                <w:noProof/>
                <w:sz w:val="24"/>
                <w:szCs w:val="24"/>
                <w:vertAlign w:val="subscript"/>
                <w:lang w:val="en-US"/>
              </w:rPr>
              <w:t xml:space="preserve">Sample_Max </w:t>
            </w:r>
            <w:r w:rsidRPr="00D54BB7">
              <w:rPr>
                <w:rFonts w:ascii="Times New Roman" w:eastAsia="Cambria Math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– 1</w:t>
            </w:r>
          </w:p>
        </w:tc>
        <w:tc>
          <w:tcPr>
            <w:tcW w:w="2508" w:type="pct"/>
          </w:tcPr>
          <w:p w14:paraId="4C1AFB9F" w14:textId="77777777" w:rsidR="00D54BB7" w:rsidRPr="00D54BB7" w:rsidRDefault="00D54BB7" w:rsidP="00304A37">
            <w:pPr>
              <w:jc w:val="both"/>
              <w:rPr>
                <w:rFonts w:ascii="Times New Roman" w:eastAsia="Cambria Math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SG</w:t>
            </w:r>
            <w:r w:rsidRPr="00D54BB7">
              <w:rPr>
                <w:rFonts w:ascii="Times New Roman" w:hAnsi="Times New Roman"/>
                <w:i/>
                <w:noProof/>
                <w:sz w:val="24"/>
                <w:vertAlign w:val="subscript"/>
                <w:lang w:val="en-US"/>
              </w:rPr>
              <w:t>Paraugs_Max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 xml:space="preserve"> – 1</w:t>
            </w:r>
          </w:p>
        </w:tc>
      </w:tr>
      <w:tr w:rsidR="00D54BB7" w:rsidRPr="00D54BB7" w14:paraId="19357087" w14:textId="77777777" w:rsidTr="00304A37">
        <w:tc>
          <w:tcPr>
            <w:tcW w:w="2492" w:type="pct"/>
          </w:tcPr>
          <w:p w14:paraId="5CBC596F" w14:textId="77777777" w:rsidR="00D54BB7" w:rsidRPr="00D54BB7" w:rsidRDefault="00D54BB7" w:rsidP="00304A37">
            <w:pPr>
              <w:jc w:val="both"/>
              <w:rPr>
                <w:rFonts w:ascii="Times New Roman" w:eastAsia="Cambria Math" w:hAnsi="Times New Roman" w:cs="Times New Roman"/>
                <w:i/>
                <w:iCs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eastAsia="Cambria Math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Conc</w:t>
            </w:r>
            <w:r w:rsidRPr="00D54BB7">
              <w:rPr>
                <w:rFonts w:ascii="Times New Roman" w:eastAsia="Cambria Math" w:hAnsi="Times New Roman" w:cs="Times New Roman"/>
                <w:i/>
                <w:iCs/>
                <w:noProof/>
                <w:sz w:val="24"/>
                <w:szCs w:val="24"/>
                <w:vertAlign w:val="subscript"/>
                <w:lang w:val="en-US"/>
              </w:rPr>
              <w:t>measured</w:t>
            </w:r>
          </w:p>
        </w:tc>
        <w:tc>
          <w:tcPr>
            <w:tcW w:w="2508" w:type="pct"/>
          </w:tcPr>
          <w:p w14:paraId="40BFCD58" w14:textId="77777777" w:rsidR="00D54BB7" w:rsidRPr="00D54BB7" w:rsidRDefault="00D54BB7" w:rsidP="00304A37">
            <w:pPr>
              <w:jc w:val="both"/>
              <w:rPr>
                <w:rFonts w:ascii="Times New Roman" w:eastAsia="Cambria Math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Koncentrācija</w:t>
            </w:r>
            <w:r w:rsidRPr="00D54BB7">
              <w:rPr>
                <w:rFonts w:ascii="Times New Roman" w:hAnsi="Times New Roman"/>
                <w:i/>
                <w:noProof/>
                <w:sz w:val="24"/>
                <w:vertAlign w:val="subscript"/>
                <w:lang w:val="en-US"/>
              </w:rPr>
              <w:t>izmērītā</w:t>
            </w:r>
          </w:p>
        </w:tc>
      </w:tr>
    </w:tbl>
    <w:p w14:paraId="322AB06E" w14:textId="77777777" w:rsidR="00D54BB7" w:rsidRPr="00D54BB7" w:rsidRDefault="00D54BB7" w:rsidP="00D54BB7">
      <w:pPr>
        <w:jc w:val="both"/>
        <w:rPr>
          <w:rFonts w:ascii="Times New Roman" w:eastAsia="Cambria Math" w:hAnsi="Times New Roman" w:cs="Times New Roman"/>
          <w:noProof/>
          <w:sz w:val="24"/>
          <w:szCs w:val="24"/>
          <w:lang w:val="en-US"/>
        </w:rPr>
      </w:pPr>
    </w:p>
    <w:p w14:paraId="2ABF2715" w14:textId="77777777" w:rsidR="00D54BB7" w:rsidRPr="00D54BB7" w:rsidRDefault="00D54BB7" w:rsidP="00D54BB7">
      <w:pPr>
        <w:jc w:val="both"/>
        <w:rPr>
          <w:rFonts w:ascii="Times New Roman" w:hAnsi="Times New Roman"/>
          <w:noProof/>
          <w:sz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Norādījumus par </w:t>
      </w:r>
      <w:r w:rsidRPr="00D54BB7">
        <w:rPr>
          <w:rFonts w:ascii="Times New Roman" w:hAnsi="Times New Roman"/>
          <w:i/>
          <w:iCs/>
          <w:noProof/>
          <w:sz w:val="24"/>
          <w:lang w:val="en-US"/>
        </w:rPr>
        <w:t>SG</w:t>
      </w:r>
      <w:r w:rsidRPr="00D54BB7">
        <w:rPr>
          <w:rFonts w:ascii="Times New Roman" w:hAnsi="Times New Roman"/>
          <w:i/>
          <w:iCs/>
          <w:noProof/>
          <w:sz w:val="24"/>
          <w:vertAlign w:val="subscript"/>
          <w:lang w:val="en-US"/>
        </w:rPr>
        <w:t xml:space="preserve">Paraugs_Max 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aprēķināšanu skatīt spēkā esošajā </w:t>
      </w:r>
      <w:r w:rsidRPr="00D54BB7">
        <w:rPr>
          <w:rFonts w:ascii="Times New Roman" w:hAnsi="Times New Roman"/>
          <w:i/>
          <w:iCs/>
          <w:noProof/>
          <w:sz w:val="24"/>
          <w:lang w:val="en-US"/>
        </w:rPr>
        <w:t>TD DL</w:t>
      </w:r>
      <w:r w:rsidRPr="00D54BB7">
        <w:rPr>
          <w:rFonts w:ascii="Times New Roman" w:hAnsi="Times New Roman"/>
          <w:noProof/>
          <w:sz w:val="24"/>
          <w:vertAlign w:val="superscript"/>
          <w:lang w:val="en-US"/>
        </w:rPr>
        <w:t>[1]</w:t>
      </w:r>
      <w:r w:rsidRPr="00D54BB7">
        <w:rPr>
          <w:rFonts w:ascii="Times New Roman" w:hAnsi="Times New Roman"/>
          <w:noProof/>
          <w:sz w:val="24"/>
          <w:lang w:val="en-US"/>
        </w:rPr>
        <w:t>.</w:t>
      </w:r>
    </w:p>
    <w:p w14:paraId="024B102C" w14:textId="77777777" w:rsidR="00D54BB7" w:rsidRPr="00D54BB7" w:rsidRDefault="00D54BB7" w:rsidP="00D54BB7">
      <w:pPr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14B81CA9" w14:textId="77777777" w:rsidR="00D54BB7" w:rsidRPr="00D54BB7" w:rsidRDefault="00D54BB7" w:rsidP="00D54BB7">
      <w:pPr>
        <w:pStyle w:val="BodyText"/>
        <w:numPr>
          <w:ilvl w:val="2"/>
          <w:numId w:val="12"/>
        </w:numPr>
        <w:tabs>
          <w:tab w:val="left" w:pos="851"/>
        </w:tabs>
        <w:ind w:left="284" w:firstLine="0"/>
        <w:rPr>
          <w:lang w:val="en-US"/>
        </w:rPr>
      </w:pPr>
      <w:r w:rsidRPr="00D54BB7">
        <w:rPr>
          <w:lang w:val="en-US"/>
        </w:rPr>
        <w:t xml:space="preserve">Parauga “A” daļas </w:t>
      </w:r>
      <w:r w:rsidRPr="00D54BB7">
        <w:rPr>
          <w:u w:val="single"/>
          <w:lang w:val="en-US"/>
        </w:rPr>
        <w:t xml:space="preserve">apstiprināšanas procedūrā </w:t>
      </w:r>
      <w:r w:rsidRPr="00D54BB7">
        <w:rPr>
          <w:lang w:val="en-US"/>
        </w:rPr>
        <w:t xml:space="preserve">veiktais </w:t>
      </w:r>
      <w:r w:rsidRPr="00D54BB7">
        <w:rPr>
          <w:u w:val="single"/>
          <w:lang w:val="en-US"/>
        </w:rPr>
        <w:t xml:space="preserve">vielu, kas nav sliekšņa vielas </w:t>
      </w:r>
      <w:r w:rsidRPr="00D54BB7">
        <w:rPr>
          <w:lang w:val="en-US"/>
        </w:rPr>
        <w:t xml:space="preserve">un kurām ir noteikts </w:t>
      </w:r>
      <w:r w:rsidRPr="00D54BB7">
        <w:rPr>
          <w:i/>
          <w:iCs/>
          <w:lang w:val="en-US"/>
        </w:rPr>
        <w:t>MRL</w:t>
      </w:r>
      <w:r w:rsidRPr="00D54BB7">
        <w:rPr>
          <w:iCs/>
          <w:vertAlign w:val="superscript"/>
          <w:lang w:val="en-US"/>
        </w:rPr>
        <w:footnoteReference w:id="1"/>
      </w:r>
      <w:r w:rsidRPr="00D54BB7">
        <w:rPr>
          <w:lang w:val="en-US"/>
        </w:rPr>
        <w:t xml:space="preserve">, mērķa </w:t>
      </w:r>
      <w:r w:rsidRPr="00D54BB7">
        <w:rPr>
          <w:u w:val="single"/>
          <w:lang w:val="en-US"/>
        </w:rPr>
        <w:t xml:space="preserve">analīta(-u) </w:t>
      </w:r>
      <w:r w:rsidRPr="00D54BB7">
        <w:rPr>
          <w:lang w:val="en-US"/>
        </w:rPr>
        <w:t>koncentrācijas vērtību aprēķins pamatojas vismaz uz turpmāk norādīto:</w:t>
      </w:r>
    </w:p>
    <w:p w14:paraId="76304D78" w14:textId="77777777" w:rsidR="00D54BB7" w:rsidRPr="00D54BB7" w:rsidRDefault="00D54BB7" w:rsidP="00D54BB7">
      <w:pPr>
        <w:pStyle w:val="BodyText"/>
        <w:numPr>
          <w:ilvl w:val="3"/>
          <w:numId w:val="12"/>
        </w:numPr>
        <w:tabs>
          <w:tab w:val="left" w:pos="1134"/>
        </w:tabs>
        <w:ind w:left="567" w:firstLine="0"/>
        <w:rPr>
          <w:lang w:val="en-US"/>
        </w:rPr>
      </w:pPr>
      <w:r w:rsidRPr="00D54BB7">
        <w:rPr>
          <w:lang w:val="en-US"/>
        </w:rPr>
        <w:t>atbilstošu iekšējo standartu;</w:t>
      </w:r>
    </w:p>
    <w:p w14:paraId="3618EFC7" w14:textId="77777777" w:rsidR="00D54BB7" w:rsidRPr="00D54BB7" w:rsidRDefault="00D54BB7" w:rsidP="00D54BB7">
      <w:pPr>
        <w:pStyle w:val="BodyText"/>
        <w:numPr>
          <w:ilvl w:val="3"/>
          <w:numId w:val="12"/>
        </w:numPr>
        <w:tabs>
          <w:tab w:val="left" w:pos="1134"/>
        </w:tabs>
        <w:ind w:left="567" w:firstLine="0"/>
        <w:rPr>
          <w:lang w:val="en-US"/>
        </w:rPr>
      </w:pPr>
      <w:r w:rsidRPr="00D54BB7">
        <w:rPr>
          <w:lang w:val="en-US"/>
        </w:rPr>
        <w:t xml:space="preserve">vienpunkta kalibratoru, kas sagatavots analīzes matricē (piemēram, urīnā) pie 120 % </w:t>
      </w:r>
      <w:r w:rsidRPr="00D54BB7">
        <w:rPr>
          <w:i/>
          <w:iCs/>
          <w:lang w:val="en-US"/>
        </w:rPr>
        <w:t>MRL</w:t>
      </w:r>
      <w:r w:rsidRPr="00D54BB7">
        <w:rPr>
          <w:lang w:val="en-US"/>
        </w:rPr>
        <w:t>, un</w:t>
      </w:r>
    </w:p>
    <w:p w14:paraId="75B37071" w14:textId="77777777" w:rsidR="00D54BB7" w:rsidRPr="00D54BB7" w:rsidRDefault="00D54BB7" w:rsidP="00D54BB7">
      <w:pPr>
        <w:pStyle w:val="BodyText"/>
        <w:numPr>
          <w:ilvl w:val="3"/>
          <w:numId w:val="12"/>
        </w:numPr>
        <w:tabs>
          <w:tab w:val="left" w:pos="1134"/>
        </w:tabs>
        <w:ind w:left="567" w:firstLine="0"/>
        <w:rPr>
          <w:lang w:val="en-US"/>
        </w:rPr>
      </w:pPr>
      <w:r w:rsidRPr="00D54BB7">
        <w:rPr>
          <w:lang w:val="en-US"/>
        </w:rPr>
        <w:t>neatkarīgu</w:t>
      </w:r>
      <w:r w:rsidRPr="00D54BB7">
        <w:rPr>
          <w:vertAlign w:val="superscript"/>
          <w:lang w:val="en-US"/>
        </w:rPr>
        <w:footnoteReference w:id="2"/>
      </w:r>
      <w:r w:rsidRPr="00D54BB7">
        <w:rPr>
          <w:vertAlign w:val="superscript"/>
          <w:lang w:val="en-US"/>
        </w:rPr>
        <w:t xml:space="preserve"> </w:t>
      </w:r>
      <w:r w:rsidRPr="00D54BB7">
        <w:rPr>
          <w:lang w:val="en-US"/>
        </w:rPr>
        <w:t>kvalitātes kontroles (</w:t>
      </w:r>
      <w:r w:rsidRPr="00D54BB7">
        <w:rPr>
          <w:i/>
          <w:iCs/>
          <w:lang w:val="en-US"/>
        </w:rPr>
        <w:t>QC</w:t>
      </w:r>
      <w:r w:rsidRPr="00D54BB7">
        <w:rPr>
          <w:lang w:val="en-US"/>
        </w:rPr>
        <w:t xml:space="preserve">) paraugu pie </w:t>
      </w:r>
      <w:r w:rsidRPr="00D54BB7">
        <w:rPr>
          <w:i/>
          <w:iCs/>
          <w:lang w:val="en-US"/>
        </w:rPr>
        <w:t>MRL</w:t>
      </w:r>
      <w:r w:rsidRPr="00D54BB7">
        <w:rPr>
          <w:lang w:val="en-US"/>
        </w:rPr>
        <w:t>, kas sagatavots vienā un tajā pašā analīzes matricē kā vienpunkta kalibrators.</w:t>
      </w:r>
    </w:p>
    <w:p w14:paraId="7FEDA65E" w14:textId="77777777" w:rsidR="00D54BB7" w:rsidRPr="00D54BB7" w:rsidRDefault="00D54BB7" w:rsidP="00D54BB7">
      <w:pPr>
        <w:tabs>
          <w:tab w:val="left" w:pos="1134"/>
        </w:tabs>
        <w:ind w:left="567"/>
        <w:jc w:val="both"/>
        <w:rPr>
          <w:rFonts w:ascii="Times New Roman" w:eastAsia="Arial" w:hAnsi="Times New Roman" w:cs="Times New Roman"/>
          <w:i/>
          <w:noProof/>
          <w:sz w:val="24"/>
          <w:szCs w:val="24"/>
          <w:lang w:val="en-US"/>
        </w:rPr>
      </w:pPr>
    </w:p>
    <w:p w14:paraId="5B146626" w14:textId="77777777" w:rsidR="00D54BB7" w:rsidRPr="00D54BB7" w:rsidRDefault="00D54BB7" w:rsidP="00D54BB7">
      <w:pPr>
        <w:tabs>
          <w:tab w:val="left" w:pos="1134"/>
        </w:tabs>
        <w:ind w:left="567"/>
        <w:jc w:val="both"/>
        <w:rPr>
          <w:rFonts w:ascii="Times New Roman" w:eastAsia="Arial" w:hAnsi="Times New Roman" w:cs="Times New Roman"/>
          <w:i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[Piezīme. Tiem paraugiem, kuru aprēķinātā koncentrācija, veicot </w:t>
      </w:r>
      <w:r w:rsidRPr="00D54BB7">
        <w:rPr>
          <w:rFonts w:ascii="Times New Roman" w:hAnsi="Times New Roman"/>
          <w:i/>
          <w:noProof/>
          <w:sz w:val="24"/>
          <w:u w:val="single"/>
          <w:lang w:val="en-US"/>
        </w:rPr>
        <w:t>ITP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, ir krietni augstāka par MRL (≥ 2 x MRL), </w:t>
      </w:r>
      <w:r w:rsidRPr="00D54BB7">
        <w:rPr>
          <w:rFonts w:ascii="Times New Roman" w:hAnsi="Times New Roman"/>
          <w:i/>
          <w:noProof/>
          <w:sz w:val="24"/>
          <w:u w:val="single" w:color="000000"/>
          <w:lang w:val="en-US"/>
        </w:rPr>
        <w:t xml:space="preserve">laboratorija </w:t>
      </w:r>
      <w:r w:rsidRPr="00D54BB7">
        <w:rPr>
          <w:rFonts w:ascii="Times New Roman" w:hAnsi="Times New Roman"/>
          <w:i/>
          <w:noProof/>
          <w:sz w:val="24"/>
          <w:lang w:val="en-US"/>
        </w:rPr>
        <w:t>pēc saviem ieskatiem var izmantot arī papildu kalibratoru ar koncentrāciju, kura ir tuvāka paraugā aprēķinātajam līmenim.]</w:t>
      </w:r>
    </w:p>
    <w:p w14:paraId="389F9F57" w14:textId="77777777" w:rsidR="00D54BB7" w:rsidRPr="00D54BB7" w:rsidRDefault="00D54BB7" w:rsidP="00D54BB7">
      <w:pPr>
        <w:tabs>
          <w:tab w:val="left" w:pos="1134"/>
        </w:tabs>
        <w:ind w:left="567"/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14:paraId="5EB096C8" w14:textId="77777777" w:rsidR="00D54BB7" w:rsidRPr="00D54BB7" w:rsidRDefault="00D54BB7" w:rsidP="00D54BB7">
      <w:pPr>
        <w:tabs>
          <w:tab w:val="left" w:pos="1134"/>
        </w:tabs>
        <w:ind w:left="567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b/>
          <w:bCs/>
          <w:noProof/>
          <w:sz w:val="24"/>
          <w:lang w:val="en-US"/>
        </w:rPr>
        <w:t xml:space="preserve">Tikai tad, ja </w:t>
      </w:r>
      <w:r w:rsidRPr="00D54BB7">
        <w:rPr>
          <w:rFonts w:ascii="Times New Roman" w:hAnsi="Times New Roman"/>
          <w:b/>
          <w:bCs/>
          <w:i/>
          <w:iCs/>
          <w:noProof/>
          <w:sz w:val="24"/>
          <w:lang w:val="en-US"/>
        </w:rPr>
        <w:t xml:space="preserve">parauga </w:t>
      </w:r>
      <w:r w:rsidRPr="00D54BB7">
        <w:rPr>
          <w:rFonts w:ascii="Times New Roman" w:hAnsi="Times New Roman"/>
          <w:b/>
          <w:bCs/>
          <w:noProof/>
          <w:sz w:val="24"/>
          <w:lang w:val="en-US"/>
        </w:rPr>
        <w:t xml:space="preserve">analītiskais signāls (attiecībā pret iekšējā standarta signālu) pārsniedz vienpunkta kalibratora 120 % </w:t>
      </w:r>
      <w:r w:rsidRPr="00D54BB7">
        <w:rPr>
          <w:rFonts w:ascii="Times New Roman" w:hAnsi="Times New Roman"/>
          <w:b/>
          <w:bCs/>
          <w:i/>
          <w:iCs/>
          <w:noProof/>
          <w:sz w:val="24"/>
          <w:lang w:val="en-US"/>
        </w:rPr>
        <w:t xml:space="preserve">MRL </w:t>
      </w:r>
      <w:r w:rsidRPr="00D54BB7">
        <w:rPr>
          <w:rFonts w:ascii="Times New Roman" w:hAnsi="Times New Roman"/>
          <w:b/>
          <w:bCs/>
          <w:noProof/>
          <w:sz w:val="24"/>
          <w:lang w:val="en-US"/>
        </w:rPr>
        <w:t xml:space="preserve">robežu un vienpunkta kalibratora signāls (attiecībā pret iekšējā standarta signālu) pārsniedz </w:t>
      </w:r>
      <w:r w:rsidRPr="00D54BB7">
        <w:rPr>
          <w:rFonts w:ascii="Times New Roman" w:hAnsi="Times New Roman"/>
          <w:b/>
          <w:bCs/>
          <w:i/>
          <w:iCs/>
          <w:noProof/>
          <w:sz w:val="24"/>
          <w:lang w:val="en-US"/>
        </w:rPr>
        <w:t xml:space="preserve">QC </w:t>
      </w:r>
      <w:r w:rsidRPr="00D54BB7">
        <w:rPr>
          <w:rFonts w:ascii="Times New Roman" w:hAnsi="Times New Roman"/>
          <w:b/>
          <w:bCs/>
          <w:noProof/>
          <w:sz w:val="24"/>
          <w:lang w:val="en-US"/>
        </w:rPr>
        <w:t xml:space="preserve">signālu, </w:t>
      </w:r>
      <w:r w:rsidRPr="00D54BB7">
        <w:rPr>
          <w:rFonts w:ascii="Times New Roman" w:hAnsi="Times New Roman"/>
          <w:b/>
          <w:bCs/>
          <w:noProof/>
          <w:sz w:val="24"/>
          <w:u w:val="single"/>
          <w:lang w:val="en-US"/>
        </w:rPr>
        <w:t xml:space="preserve">laboratorija </w:t>
      </w:r>
      <w:r w:rsidRPr="00D54BB7">
        <w:rPr>
          <w:rFonts w:ascii="Times New Roman" w:hAnsi="Times New Roman"/>
          <w:b/>
          <w:bCs/>
          <w:noProof/>
          <w:sz w:val="24"/>
          <w:lang w:val="en-US"/>
        </w:rPr>
        <w:t xml:space="preserve">var droši secināt, ka </w:t>
      </w:r>
      <w:r w:rsidRPr="00D54BB7">
        <w:rPr>
          <w:rFonts w:ascii="Times New Roman" w:hAnsi="Times New Roman"/>
          <w:b/>
          <w:bCs/>
          <w:noProof/>
          <w:sz w:val="24"/>
          <w:u w:val="single"/>
          <w:lang w:val="en-US"/>
        </w:rPr>
        <w:t xml:space="preserve">analīta </w:t>
      </w:r>
      <w:r w:rsidRPr="00D54BB7">
        <w:rPr>
          <w:rFonts w:ascii="Times New Roman" w:hAnsi="Times New Roman"/>
          <w:b/>
          <w:bCs/>
          <w:noProof/>
          <w:sz w:val="24"/>
          <w:lang w:val="en-US"/>
        </w:rPr>
        <w:t xml:space="preserve">koncentrācija </w:t>
      </w:r>
      <w:r w:rsidRPr="00D54BB7">
        <w:rPr>
          <w:rFonts w:ascii="Times New Roman" w:hAnsi="Times New Roman"/>
          <w:b/>
          <w:bCs/>
          <w:i/>
          <w:iCs/>
          <w:noProof/>
          <w:sz w:val="24"/>
          <w:lang w:val="en-US"/>
        </w:rPr>
        <w:t xml:space="preserve">paraugā </w:t>
      </w:r>
      <w:r w:rsidRPr="00D54BB7">
        <w:rPr>
          <w:rFonts w:ascii="Times New Roman" w:hAnsi="Times New Roman"/>
          <w:b/>
          <w:bCs/>
          <w:noProof/>
          <w:sz w:val="24"/>
          <w:lang w:val="en-US"/>
        </w:rPr>
        <w:t xml:space="preserve">pārsniedz </w:t>
      </w:r>
      <w:r w:rsidRPr="00D54BB7">
        <w:rPr>
          <w:rFonts w:ascii="Times New Roman" w:hAnsi="Times New Roman"/>
          <w:b/>
          <w:bCs/>
          <w:i/>
          <w:iCs/>
          <w:noProof/>
          <w:sz w:val="24"/>
          <w:lang w:val="en-US"/>
        </w:rPr>
        <w:t xml:space="preserve">MRL </w:t>
      </w:r>
      <w:r w:rsidRPr="00D54BB7">
        <w:rPr>
          <w:rFonts w:ascii="Times New Roman" w:hAnsi="Times New Roman"/>
          <w:b/>
          <w:bCs/>
          <w:noProof/>
          <w:sz w:val="24"/>
          <w:lang w:val="en-US"/>
        </w:rPr>
        <w:t xml:space="preserve">un atrade, kura attiecas uz </w:t>
      </w:r>
      <w:r w:rsidRPr="00D54BB7">
        <w:rPr>
          <w:rFonts w:ascii="Times New Roman" w:hAnsi="Times New Roman"/>
          <w:b/>
          <w:bCs/>
          <w:noProof/>
          <w:sz w:val="24"/>
          <w:u w:val="single"/>
          <w:lang w:val="en-US"/>
        </w:rPr>
        <w:t>vielu, kas nav sliekšņa viela</w:t>
      </w:r>
      <w:r w:rsidRPr="00D54BB7">
        <w:rPr>
          <w:rFonts w:ascii="Times New Roman" w:hAnsi="Times New Roman"/>
          <w:b/>
          <w:bCs/>
          <w:noProof/>
          <w:sz w:val="24"/>
          <w:lang w:val="en-US"/>
        </w:rPr>
        <w:t xml:space="preserve">, paziņojama kā </w:t>
      </w:r>
      <w:r w:rsidRPr="00D54BB7">
        <w:rPr>
          <w:rFonts w:ascii="Times New Roman" w:hAnsi="Times New Roman"/>
          <w:b/>
          <w:bCs/>
          <w:i/>
          <w:iCs/>
          <w:noProof/>
          <w:sz w:val="24"/>
          <w:lang w:val="en-US"/>
        </w:rPr>
        <w:t>AAF</w:t>
      </w:r>
      <w:r w:rsidRPr="00D54BB7">
        <w:rPr>
          <w:rFonts w:ascii="Times New Roman" w:hAnsi="Times New Roman"/>
          <w:b/>
          <w:bCs/>
          <w:noProof/>
          <w:sz w:val="24"/>
          <w:lang w:val="en-US"/>
        </w:rPr>
        <w:t>.</w:t>
      </w:r>
    </w:p>
    <w:p w14:paraId="3795701E" w14:textId="77777777" w:rsidR="00D54BB7" w:rsidRPr="00D54BB7" w:rsidRDefault="00D54BB7" w:rsidP="00D54BB7">
      <w:pPr>
        <w:tabs>
          <w:tab w:val="left" w:pos="851"/>
        </w:tabs>
        <w:ind w:left="284"/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14:paraId="7AFAF33B" w14:textId="77777777" w:rsidR="00D54BB7" w:rsidRPr="00D54BB7" w:rsidRDefault="00D54BB7" w:rsidP="00D54BB7">
      <w:pPr>
        <w:pStyle w:val="BodyText"/>
        <w:numPr>
          <w:ilvl w:val="2"/>
          <w:numId w:val="12"/>
        </w:numPr>
        <w:tabs>
          <w:tab w:val="left" w:pos="851"/>
        </w:tabs>
        <w:ind w:left="284" w:firstLine="0"/>
        <w:rPr>
          <w:lang w:val="en-US"/>
        </w:rPr>
      </w:pPr>
      <w:r w:rsidRPr="00D54BB7">
        <w:rPr>
          <w:lang w:val="en-US"/>
        </w:rPr>
        <w:t xml:space="preserve">Lai </w:t>
      </w:r>
      <w:r w:rsidRPr="00D54BB7">
        <w:rPr>
          <w:i/>
          <w:iCs/>
          <w:lang w:val="en-US"/>
        </w:rPr>
        <w:t xml:space="preserve">AAF </w:t>
      </w:r>
      <w:r w:rsidRPr="00D54BB7">
        <w:rPr>
          <w:lang w:val="en-US"/>
        </w:rPr>
        <w:t xml:space="preserve">būtu derīgs, </w:t>
      </w:r>
      <w:r w:rsidRPr="00D54BB7">
        <w:rPr>
          <w:i/>
          <w:iCs/>
          <w:lang w:val="en-US"/>
        </w:rPr>
        <w:t xml:space="preserve">parauga </w:t>
      </w:r>
      <w:r w:rsidRPr="00D54BB7">
        <w:rPr>
          <w:lang w:val="en-US"/>
        </w:rPr>
        <w:t xml:space="preserve">“B” daļas rezultātam attiecībā uz </w:t>
      </w:r>
      <w:r w:rsidRPr="00D54BB7">
        <w:rPr>
          <w:u w:val="single"/>
          <w:lang w:val="en-US"/>
        </w:rPr>
        <w:t xml:space="preserve">vielu, kas nav sliekšņa viela </w:t>
      </w:r>
      <w:r w:rsidRPr="00D54BB7">
        <w:rPr>
          <w:lang w:val="en-US"/>
        </w:rPr>
        <w:t xml:space="preserve">un kurai ir noteikts </w:t>
      </w:r>
      <w:r w:rsidRPr="00D54BB7">
        <w:rPr>
          <w:i/>
          <w:iCs/>
          <w:lang w:val="en-US"/>
        </w:rPr>
        <w:t>MRL</w:t>
      </w:r>
      <w:r w:rsidRPr="00D54BB7">
        <w:rPr>
          <w:lang w:val="en-US"/>
        </w:rPr>
        <w:t xml:space="preserve">, jāapstiprina tikai </w:t>
      </w:r>
      <w:r w:rsidRPr="00D54BB7">
        <w:rPr>
          <w:u w:val="single"/>
          <w:lang w:val="en-US"/>
        </w:rPr>
        <w:t>vielas, kas nav sliekšņa viela</w:t>
      </w:r>
      <w:r w:rsidRPr="00D54BB7">
        <w:rPr>
          <w:lang w:val="en-US"/>
        </w:rPr>
        <w:t xml:space="preserve">, mērķa </w:t>
      </w:r>
      <w:r w:rsidRPr="00D54BB7">
        <w:rPr>
          <w:u w:val="single"/>
          <w:lang w:val="en-US"/>
        </w:rPr>
        <w:t xml:space="preserve">analīta(-u) </w:t>
      </w:r>
      <w:r w:rsidRPr="00D54BB7">
        <w:rPr>
          <w:lang w:val="en-US"/>
        </w:rPr>
        <w:t xml:space="preserve">klātbūtne (saskaņā ar </w:t>
      </w:r>
      <w:r w:rsidRPr="00D54BB7">
        <w:rPr>
          <w:i/>
          <w:iCs/>
          <w:lang w:val="en-US"/>
        </w:rPr>
        <w:t>TD IDCR</w:t>
      </w:r>
      <w:r w:rsidRPr="00D54BB7">
        <w:rPr>
          <w:vertAlign w:val="superscript"/>
          <w:lang w:val="en-US"/>
        </w:rPr>
        <w:t>[7]</w:t>
      </w:r>
      <w:r w:rsidRPr="00D54BB7">
        <w:rPr>
          <w:lang w:val="en-US"/>
        </w:rPr>
        <w:t xml:space="preserve">). Šāda(-u) mērķa </w:t>
      </w:r>
      <w:r w:rsidRPr="00D54BB7">
        <w:rPr>
          <w:u w:val="single"/>
          <w:lang w:val="en-US"/>
        </w:rPr>
        <w:t xml:space="preserve">analīta(-u) </w:t>
      </w:r>
      <w:r w:rsidRPr="00D54BB7">
        <w:rPr>
          <w:lang w:val="en-US"/>
        </w:rPr>
        <w:t>koncentrācijas vērtību kvantitatīva noteikšana vai aplēšana nav nepieciešama.</w:t>
      </w:r>
    </w:p>
    <w:p w14:paraId="08521174" w14:textId="77777777" w:rsidR="00D54BB7" w:rsidRPr="00D54BB7" w:rsidRDefault="00D54BB7" w:rsidP="00D54BB7">
      <w:pPr>
        <w:jc w:val="both"/>
        <w:rPr>
          <w:noProof/>
          <w:lang w:val="en-US"/>
        </w:rPr>
      </w:pPr>
    </w:p>
    <w:p w14:paraId="4F743BB9" w14:textId="77777777" w:rsidR="00D54BB7" w:rsidRPr="00D54BB7" w:rsidRDefault="00D54BB7" w:rsidP="00D54BB7">
      <w:pPr>
        <w:pStyle w:val="BodyText"/>
        <w:rPr>
          <w:lang w:val="en-US"/>
        </w:rPr>
      </w:pPr>
      <w:r w:rsidRPr="00D54BB7">
        <w:rPr>
          <w:b/>
          <w:lang w:val="en-US"/>
        </w:rPr>
        <w:t xml:space="preserve">1. tabula. </w:t>
      </w:r>
      <w:r w:rsidRPr="00D54BB7">
        <w:rPr>
          <w:i/>
          <w:iCs/>
          <w:u w:val="single"/>
          <w:lang w:val="en-US"/>
        </w:rPr>
        <w:t xml:space="preserve">MRPL </w:t>
      </w:r>
      <w:r w:rsidRPr="00D54BB7">
        <w:rPr>
          <w:u w:val="single"/>
          <w:lang w:val="en-US"/>
        </w:rPr>
        <w:t>vielu, kas nav sliekšņa vielas</w:t>
      </w:r>
      <w:r w:rsidRPr="00D54BB7">
        <w:rPr>
          <w:lang w:val="en-US"/>
        </w:rPr>
        <w:t xml:space="preserve">, noteikšanai un </w:t>
      </w:r>
      <w:r w:rsidRPr="00D54BB7">
        <w:rPr>
          <w:i/>
          <w:lang w:val="en-US"/>
        </w:rPr>
        <w:t xml:space="preserve">MRL </w:t>
      </w:r>
      <w:r w:rsidRPr="00D54BB7">
        <w:rPr>
          <w:lang w:val="en-US"/>
        </w:rPr>
        <w:t>ziņošanai par tām</w:t>
      </w:r>
    </w:p>
    <w:p w14:paraId="392404F8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41"/>
        <w:gridCol w:w="1510"/>
        <w:gridCol w:w="1023"/>
        <w:gridCol w:w="3354"/>
      </w:tblGrid>
      <w:tr w:rsidR="00D54BB7" w:rsidRPr="00D54BB7" w14:paraId="1FBD3017" w14:textId="77777777" w:rsidTr="00304A37">
        <w:tc>
          <w:tcPr>
            <w:tcW w:w="1776" w:type="pct"/>
            <w:tcBorders>
              <w:top w:val="single" w:sz="13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DADADA"/>
            <w:vAlign w:val="center"/>
          </w:tcPr>
          <w:p w14:paraId="35DF72FD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Aizliegto vielu klase</w:t>
            </w:r>
          </w:p>
          <w:p w14:paraId="584B2608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(konkrēti piemēri/izņēmumi)</w:t>
            </w:r>
          </w:p>
        </w:tc>
        <w:tc>
          <w:tcPr>
            <w:tcW w:w="827" w:type="pct"/>
            <w:tcBorders>
              <w:top w:val="single" w:sz="13" w:space="0" w:color="000000"/>
              <w:left w:val="single" w:sz="5" w:space="0" w:color="000000"/>
              <w:bottom w:val="single" w:sz="19" w:space="0" w:color="000000"/>
              <w:right w:val="single" w:sz="8" w:space="0" w:color="000000"/>
            </w:tcBorders>
            <w:shd w:val="clear" w:color="auto" w:fill="DADADA"/>
            <w:vAlign w:val="center"/>
          </w:tcPr>
          <w:p w14:paraId="55FEDDBE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i/>
                <w:iCs/>
                <w:noProof/>
                <w:sz w:val="24"/>
                <w:u w:val="thick" w:color="000000"/>
                <w:lang w:val="en-US"/>
              </w:rPr>
              <w:t>MRPL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(a, b)</w:t>
            </w:r>
          </w:p>
          <w:p w14:paraId="2D8D9DE3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(ng/ml)</w:t>
            </w:r>
          </w:p>
        </w:tc>
        <w:tc>
          <w:tcPr>
            <w:tcW w:w="560" w:type="pct"/>
            <w:tcBorders>
              <w:top w:val="single" w:sz="13" w:space="0" w:color="000000"/>
              <w:left w:val="single" w:sz="8" w:space="0" w:color="000000"/>
              <w:bottom w:val="single" w:sz="19" w:space="0" w:color="000000"/>
              <w:right w:val="single" w:sz="5" w:space="0" w:color="000000"/>
            </w:tcBorders>
            <w:shd w:val="clear" w:color="auto" w:fill="DADADA"/>
            <w:vAlign w:val="center"/>
          </w:tcPr>
          <w:p w14:paraId="2CEEDB77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i/>
                <w:noProof/>
                <w:sz w:val="24"/>
                <w:lang w:val="en-US"/>
              </w:rPr>
              <w:t>MRL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(c)</w:t>
            </w:r>
          </w:p>
          <w:p w14:paraId="62664171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(ng/ml)</w:t>
            </w:r>
          </w:p>
        </w:tc>
        <w:tc>
          <w:tcPr>
            <w:tcW w:w="1837" w:type="pct"/>
            <w:tcBorders>
              <w:top w:val="single" w:sz="13" w:space="0" w:color="000000"/>
              <w:left w:val="single" w:sz="5" w:space="0" w:color="000000"/>
              <w:bottom w:val="single" w:sz="19" w:space="0" w:color="000000"/>
              <w:right w:val="single" w:sz="12" w:space="0" w:color="000000"/>
            </w:tcBorders>
            <w:shd w:val="clear" w:color="auto" w:fill="DADADA"/>
            <w:vAlign w:val="center"/>
          </w:tcPr>
          <w:p w14:paraId="07E96465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Piezīmes</w:t>
            </w:r>
          </w:p>
        </w:tc>
      </w:tr>
      <w:tr w:rsidR="00D54BB7" w:rsidRPr="00D54BB7" w14:paraId="163C386D" w14:textId="77777777" w:rsidTr="00304A37">
        <w:tc>
          <w:tcPr>
            <w:tcW w:w="1776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A9B14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S1.1. Anaboliskie androgēnie steroīdi (AAS)</w:t>
            </w:r>
          </w:p>
        </w:tc>
        <w:tc>
          <w:tcPr>
            <w:tcW w:w="827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3E4C1500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2,5</w:t>
            </w:r>
          </w:p>
        </w:tc>
        <w:tc>
          <w:tcPr>
            <w:tcW w:w="560" w:type="pct"/>
            <w:tcBorders>
              <w:top w:val="single" w:sz="1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E6676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143D7EF5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Skat.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TD EAAS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[8]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,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TD IRMS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[4]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,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-08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[9]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,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-10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 xml:space="preserve">[10]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un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-20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[11]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</w:tc>
      </w:tr>
      <w:tr w:rsidR="00D54BB7" w:rsidRPr="00D54BB7" w14:paraId="46231869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D62A6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4α-hlor-18-nor-17β-hidroksimetil-17α-metil-5α-androst-13-ēn-3α-ols</w:t>
            </w:r>
          </w:p>
          <w:p w14:paraId="76CE44DB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(dehidrohlormetiltestosterona (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DHCMT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) un citu radniecīgu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 xml:space="preserve">prekursoru steroīdu noturīgais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 xml:space="preserve">metabolīts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(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LTM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))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62347B7E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0,4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28D62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4FA69EB3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2C22CB9B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C56C0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6α-hidroksi-androstēndions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1648DF17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10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338F2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10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04CC4940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Skat.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TD IRMS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[4]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</w:tc>
      </w:tr>
      <w:tr w:rsidR="00D54BB7" w:rsidRPr="00D54BB7" w14:paraId="762D28EA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9CB5B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17β-hidroksimetil-17α-metil-18-nor-androst-1,4,13-triēn-3-ons</w:t>
            </w:r>
          </w:p>
          <w:p w14:paraId="1D2B37EE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(metandienona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LTM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)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1E0D5F15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57642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26967C59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538E1511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78DE5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19-norandrosterons (19-NA), 19-noretioholanolons (19-NE)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145B71D2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2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A40C9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15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(d)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7041B09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Skat.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TD NA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[5]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</w:tc>
      </w:tr>
      <w:tr w:rsidR="00D54BB7" w:rsidRPr="00D54BB7" w14:paraId="19789842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CAFD21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Boldenons/boldenona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metabolīts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625D8732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2,5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86973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30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(d)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789223E9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Skat.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TD IRMS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[4]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</w:tc>
      </w:tr>
      <w:tr w:rsidR="00D54BB7" w:rsidRPr="00D54BB7" w14:paraId="76E28A3E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4275E422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Stanozolola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metabolīti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8" w:space="0" w:color="000000"/>
            </w:tcBorders>
            <w:vAlign w:val="center"/>
          </w:tcPr>
          <w:p w14:paraId="3FBDC31E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6DF33CC6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2" w:space="0" w:color="000000"/>
            </w:tcBorders>
            <w:vAlign w:val="center"/>
          </w:tcPr>
          <w:p w14:paraId="276F60D5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5FAA7220" w14:textId="77777777" w:rsidTr="00304A37">
        <w:tc>
          <w:tcPr>
            <w:tcW w:w="1776" w:type="pct"/>
            <w:tcBorders>
              <w:top w:val="single" w:sz="19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BDE5592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S1.2. Citi anaboliskie līdzekļi</w:t>
            </w:r>
          </w:p>
        </w:tc>
        <w:tc>
          <w:tcPr>
            <w:tcW w:w="827" w:type="pct"/>
            <w:tcBorders>
              <w:top w:val="single" w:sz="19" w:space="0" w:color="000000"/>
              <w:left w:val="single" w:sz="5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B85B55A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1</w:t>
            </w:r>
          </w:p>
        </w:tc>
        <w:tc>
          <w:tcPr>
            <w:tcW w:w="560" w:type="pct"/>
            <w:tcBorders>
              <w:top w:val="single" w:sz="19" w:space="0" w:color="000000"/>
              <w:left w:val="single" w:sz="8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38B2C83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6D37903A" w14:textId="77777777" w:rsidR="00D54BB7" w:rsidRPr="00D54BB7" w:rsidRDefault="00D54BB7" w:rsidP="00304A37">
            <w:pPr>
              <w:pStyle w:val="ListParagraph"/>
              <w:numPr>
                <w:ilvl w:val="0"/>
                <w:numId w:val="11"/>
              </w:numPr>
              <w:tabs>
                <w:tab w:val="left" w:pos="266"/>
              </w:tabs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Informāciju par andarīnu skatīt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-07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[12]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  <w:p w14:paraId="07A4FDD4" w14:textId="77777777" w:rsidR="00D54BB7" w:rsidRPr="00D54BB7" w:rsidRDefault="00D54BB7" w:rsidP="00304A37">
            <w:pPr>
              <w:pStyle w:val="ListParagraph"/>
              <w:numPr>
                <w:ilvl w:val="0"/>
                <w:numId w:val="11"/>
              </w:numPr>
              <w:tabs>
                <w:tab w:val="left" w:pos="266"/>
              </w:tabs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Informāciju par enobosarmu (ostarīnu) skatīt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-12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[13]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</w:tc>
      </w:tr>
      <w:tr w:rsidR="00D54BB7" w:rsidRPr="00D54BB7" w14:paraId="3D246FB6" w14:textId="77777777" w:rsidTr="00304A37">
        <w:tc>
          <w:tcPr>
            <w:tcW w:w="17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8E913BD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Klenbuterols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A6F289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0,2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B32013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5</w:t>
            </w:r>
          </w:p>
        </w:tc>
        <w:tc>
          <w:tcPr>
            <w:tcW w:w="1837" w:type="pct"/>
            <w:vMerge w:val="restart"/>
            <w:tcBorders>
              <w:top w:val="single" w:sz="5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45E25C7B" w14:textId="77777777" w:rsidR="00D54BB7" w:rsidRPr="00D54BB7" w:rsidRDefault="00D54BB7" w:rsidP="00304A37">
            <w:pPr>
              <w:pStyle w:val="ListParagraph"/>
              <w:numPr>
                <w:ilvl w:val="0"/>
                <w:numId w:val="10"/>
              </w:numPr>
              <w:tabs>
                <w:tab w:val="left" w:pos="266"/>
              </w:tabs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Skatīt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-23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[6]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  <w:p w14:paraId="1802C3F6" w14:textId="77777777" w:rsidR="00D54BB7" w:rsidRPr="00D54BB7" w:rsidRDefault="00D54BB7" w:rsidP="00304A37">
            <w:pPr>
              <w:pStyle w:val="ListParagraph"/>
              <w:numPr>
                <w:ilvl w:val="0"/>
                <w:numId w:val="10"/>
              </w:numPr>
              <w:tabs>
                <w:tab w:val="left" w:pos="266"/>
              </w:tabs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Informāciju par zeranolu skatīt arī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-04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[14]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</w:tc>
      </w:tr>
      <w:tr w:rsidR="00D54BB7" w:rsidRPr="00D54BB7" w14:paraId="53142926" w14:textId="77777777" w:rsidTr="00304A37">
        <w:tc>
          <w:tcPr>
            <w:tcW w:w="1776" w:type="pct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5" w:space="0" w:color="000000"/>
            </w:tcBorders>
            <w:vAlign w:val="center"/>
          </w:tcPr>
          <w:p w14:paraId="39DE6D90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Raktopamīns, zeranols, zilpaterols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5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251DFBFD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8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0A58E81D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5</w:t>
            </w:r>
          </w:p>
        </w:tc>
        <w:tc>
          <w:tcPr>
            <w:tcW w:w="1837" w:type="pct"/>
            <w:vMerge/>
            <w:tcBorders>
              <w:left w:val="single" w:sz="6" w:space="0" w:color="000000"/>
              <w:bottom w:val="single" w:sz="19" w:space="0" w:color="000000"/>
              <w:right w:val="single" w:sz="12" w:space="0" w:color="000000"/>
            </w:tcBorders>
            <w:vAlign w:val="center"/>
          </w:tcPr>
          <w:p w14:paraId="0FCD53CA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1E05F7E3" w14:textId="77777777" w:rsidTr="00304A37">
        <w:tc>
          <w:tcPr>
            <w:tcW w:w="1776" w:type="pct"/>
            <w:tcBorders>
              <w:top w:val="single" w:sz="24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477B7C8F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S2.1.2. HIF aktivatori</w:t>
            </w:r>
          </w:p>
          <w:p w14:paraId="6766470C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Daprodustats (GSK1278863),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IOX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2, molidustats (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BAY 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85-3934), roksadustats (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FG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-4592), vadadustats (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AKB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-6548)</w:t>
            </w:r>
          </w:p>
        </w:tc>
        <w:tc>
          <w:tcPr>
            <w:tcW w:w="827" w:type="pct"/>
            <w:tcBorders>
              <w:top w:val="single" w:sz="24" w:space="0" w:color="000000"/>
              <w:left w:val="single" w:sz="5" w:space="0" w:color="000000"/>
              <w:bottom w:val="single" w:sz="19" w:space="0" w:color="000000"/>
              <w:right w:val="single" w:sz="8" w:space="0" w:color="000000"/>
            </w:tcBorders>
            <w:vAlign w:val="center"/>
          </w:tcPr>
          <w:p w14:paraId="59C0940A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2</w:t>
            </w:r>
          </w:p>
        </w:tc>
        <w:tc>
          <w:tcPr>
            <w:tcW w:w="560" w:type="pct"/>
            <w:tcBorders>
              <w:top w:val="single" w:sz="24" w:space="0" w:color="000000"/>
              <w:left w:val="single" w:sz="8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4BFC2710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12" w:space="0" w:color="000000"/>
            </w:tcBorders>
            <w:vAlign w:val="center"/>
          </w:tcPr>
          <w:p w14:paraId="23736C14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3791CD9C" w14:textId="77777777" w:rsidTr="00304A37">
        <w:tc>
          <w:tcPr>
            <w:tcW w:w="1776" w:type="pct"/>
            <w:tcBorders>
              <w:top w:val="single" w:sz="19" w:space="0" w:color="000000"/>
              <w:left w:val="single" w:sz="5" w:space="0" w:color="000000"/>
              <w:bottom w:val="dotted" w:sz="6" w:space="0" w:color="000000"/>
              <w:right w:val="single" w:sz="5" w:space="0" w:color="000000"/>
            </w:tcBorders>
            <w:vAlign w:val="center"/>
          </w:tcPr>
          <w:p w14:paraId="660370EA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S2.2.1. Gonadotropīna (CG/</w:t>
            </w:r>
            <w:r w:rsidRPr="00D54BB7">
              <w:rPr>
                <w:rFonts w:ascii="Times New Roman" w:hAnsi="Times New Roman"/>
                <w:b/>
                <w:i/>
                <w:iCs/>
                <w:noProof/>
                <w:sz w:val="24"/>
                <w:lang w:val="en-US"/>
              </w:rPr>
              <w:t>LH</w:t>
            </w: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)</w:t>
            </w:r>
          </w:p>
          <w:p w14:paraId="2D0FBCB7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atbrīvotājfaktori</w:t>
            </w:r>
          </w:p>
          <w:p w14:paraId="4FC78E0C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(buserelīns, deslorelīns, gonadorelīns, goserelīns, leiprolīns, nafarelīns, triptorelīns)</w:t>
            </w:r>
          </w:p>
        </w:tc>
        <w:tc>
          <w:tcPr>
            <w:tcW w:w="827" w:type="pct"/>
            <w:tcBorders>
              <w:top w:val="single" w:sz="19" w:space="0" w:color="000000"/>
              <w:left w:val="single" w:sz="5" w:space="0" w:color="000000"/>
              <w:bottom w:val="dotted" w:sz="6" w:space="0" w:color="000000"/>
              <w:right w:val="single" w:sz="8" w:space="0" w:color="000000"/>
            </w:tcBorders>
            <w:vAlign w:val="center"/>
          </w:tcPr>
          <w:p w14:paraId="35A14CD5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2</w:t>
            </w:r>
          </w:p>
        </w:tc>
        <w:tc>
          <w:tcPr>
            <w:tcW w:w="560" w:type="pct"/>
            <w:tcBorders>
              <w:top w:val="single" w:sz="19" w:space="0" w:color="000000"/>
              <w:left w:val="single" w:sz="8" w:space="0" w:color="000000"/>
              <w:bottom w:val="dotted" w:sz="6" w:space="0" w:color="000000"/>
              <w:right w:val="single" w:sz="5" w:space="0" w:color="000000"/>
            </w:tcBorders>
            <w:vAlign w:val="center"/>
          </w:tcPr>
          <w:p w14:paraId="080D657E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single" w:sz="19" w:space="0" w:color="000000"/>
              <w:left w:val="single" w:sz="5" w:space="0" w:color="000000"/>
              <w:bottom w:val="dotted" w:sz="6" w:space="0" w:color="000000"/>
              <w:right w:val="single" w:sz="12" w:space="0" w:color="000000"/>
            </w:tcBorders>
            <w:vAlign w:val="center"/>
          </w:tcPr>
          <w:p w14:paraId="04FB4BA6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6E86EF9D" w14:textId="77777777" w:rsidTr="00304A37">
        <w:tc>
          <w:tcPr>
            <w:tcW w:w="1776" w:type="pct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9BD40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S2.2.3. Augšanas hormons (</w:t>
            </w:r>
            <w:r w:rsidRPr="00D54BB7">
              <w:rPr>
                <w:rFonts w:ascii="Times New Roman" w:hAnsi="Times New Roman"/>
                <w:b/>
                <w:i/>
                <w:noProof/>
                <w:sz w:val="24"/>
                <w:lang w:val="en-US"/>
              </w:rPr>
              <w:t>GH</w:t>
            </w: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), tā analogi un fragmenti</w:t>
            </w:r>
          </w:p>
        </w:tc>
        <w:tc>
          <w:tcPr>
            <w:tcW w:w="827" w:type="pct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122E2974" w14:textId="77777777" w:rsidR="00D54BB7" w:rsidRPr="00D54BB7" w:rsidRDefault="00D54BB7" w:rsidP="00304A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0" w:type="pct"/>
            <w:tcBorders>
              <w:top w:val="single" w:sz="1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8FB85" w14:textId="77777777" w:rsidR="00D54BB7" w:rsidRPr="00D54BB7" w:rsidRDefault="00D54BB7" w:rsidP="00304A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7" w:type="pct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DD5CF84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745E775D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49A3531E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i/>
                <w:noProof/>
                <w:sz w:val="24"/>
                <w:lang w:val="en-US"/>
              </w:rPr>
              <w:t xml:space="preserve">GH </w:t>
            </w: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fragmenti</w:t>
            </w:r>
          </w:p>
          <w:p w14:paraId="19B8941F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(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AOD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9604,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hGH 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176-191)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8" w:space="0" w:color="000000"/>
            </w:tcBorders>
            <w:vAlign w:val="center"/>
          </w:tcPr>
          <w:p w14:paraId="59172427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2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67D2E387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2" w:space="0" w:color="000000"/>
            </w:tcBorders>
            <w:vAlign w:val="center"/>
          </w:tcPr>
          <w:p w14:paraId="206F9972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490DCDAE" w14:textId="77777777" w:rsidTr="00304A37">
        <w:tc>
          <w:tcPr>
            <w:tcW w:w="1776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61987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S2.2.4. Augšanas hormona atbrīvotājfaktori</w:t>
            </w:r>
          </w:p>
        </w:tc>
        <w:tc>
          <w:tcPr>
            <w:tcW w:w="827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55DE3BDD" w14:textId="77777777" w:rsidR="00D54BB7" w:rsidRPr="00D54BB7" w:rsidRDefault="00D54BB7" w:rsidP="00304A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0" w:type="pct"/>
            <w:tcBorders>
              <w:top w:val="single" w:sz="1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B75BC" w14:textId="77777777" w:rsidR="00D54BB7" w:rsidRPr="00D54BB7" w:rsidRDefault="00D54BB7" w:rsidP="00304A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7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1D08F14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26E8C769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856C4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i/>
                <w:noProof/>
                <w:sz w:val="24"/>
                <w:lang w:val="en-US"/>
              </w:rPr>
              <w:t xml:space="preserve">GH </w:t>
            </w: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atbrīvotājhormons (</w:t>
            </w:r>
            <w:r w:rsidRPr="00D54BB7">
              <w:rPr>
                <w:rFonts w:ascii="Times New Roman" w:hAnsi="Times New Roman"/>
                <w:b/>
                <w:i/>
                <w:noProof/>
                <w:sz w:val="24"/>
                <w:lang w:val="en-US"/>
              </w:rPr>
              <w:t>GHRH</w:t>
            </w: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) un tā analogi</w:t>
            </w:r>
          </w:p>
          <w:p w14:paraId="3C456CC7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(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CJC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-1293,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CJC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-1295,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CJC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-1295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DAC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, sermorelīns, tesamorelīns)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4E6AE463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</w:t>
            </w:r>
          </w:p>
          <w:p w14:paraId="75C8787D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Urīns</w:t>
            </w:r>
          </w:p>
          <w:p w14:paraId="26C33B0A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2ABCAA34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0,3</w:t>
            </w:r>
          </w:p>
          <w:p w14:paraId="22DA4FE1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Plazma/serums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72D0D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BC81C0B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402BE922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36D2D2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i/>
                <w:iCs/>
                <w:noProof/>
                <w:sz w:val="24"/>
                <w:lang w:val="en-US"/>
              </w:rPr>
              <w:t xml:space="preserve">GH </w:t>
            </w: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sekretagogi (</w:t>
            </w:r>
            <w:r w:rsidRPr="00D54BB7">
              <w:rPr>
                <w:rFonts w:ascii="Times New Roman" w:hAnsi="Times New Roman"/>
                <w:b/>
                <w:i/>
                <w:iCs/>
                <w:noProof/>
                <w:sz w:val="24"/>
                <w:lang w:val="en-US"/>
              </w:rPr>
              <w:t>GHS</w:t>
            </w: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) un to mimētiskie līdzekļi</w:t>
            </w:r>
          </w:p>
          <w:p w14:paraId="1142ADAA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(anamorelīns, ibutamorēns, ipamorelīns, makimorelīns, tabimorelīns)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460D1166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2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14A32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75685FB0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0FD8666F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6F9BA37A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i/>
                <w:noProof/>
                <w:sz w:val="24"/>
                <w:lang w:val="en-US"/>
              </w:rPr>
              <w:lastRenderedPageBreak/>
              <w:t xml:space="preserve">GH </w:t>
            </w: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atbrīvotājpeptīdi (</w:t>
            </w:r>
            <w:r w:rsidRPr="00D54BB7">
              <w:rPr>
                <w:rFonts w:ascii="Times New Roman" w:hAnsi="Times New Roman"/>
                <w:b/>
                <w:i/>
                <w:noProof/>
                <w:sz w:val="24"/>
                <w:lang w:val="en-US"/>
              </w:rPr>
              <w:t>GHRP</w:t>
            </w: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)</w:t>
            </w:r>
          </w:p>
          <w:p w14:paraId="40DB6F43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(aleksamorelīns,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GHRP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-1, -2, -3, -4, -5 un -6; eksamorelīns)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8" w:space="0" w:color="000000"/>
            </w:tcBorders>
            <w:vAlign w:val="center"/>
          </w:tcPr>
          <w:p w14:paraId="3D484591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18A1988E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2" w:space="0" w:color="000000"/>
            </w:tcBorders>
            <w:vAlign w:val="center"/>
          </w:tcPr>
          <w:p w14:paraId="0A664100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4A3B7578" w14:textId="77777777" w:rsidTr="00304A37">
        <w:tc>
          <w:tcPr>
            <w:tcW w:w="1776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DE6419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S2.3. Augšanas faktori un augšanas faktoru modulatori</w:t>
            </w:r>
          </w:p>
        </w:tc>
        <w:tc>
          <w:tcPr>
            <w:tcW w:w="827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1DB300A1" w14:textId="77777777" w:rsidR="00D54BB7" w:rsidRPr="00D54BB7" w:rsidRDefault="00D54BB7" w:rsidP="00304A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0" w:type="pct"/>
            <w:tcBorders>
              <w:top w:val="single" w:sz="1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BE98A" w14:textId="77777777" w:rsidR="00D54BB7" w:rsidRPr="00D54BB7" w:rsidRDefault="00D54BB7" w:rsidP="00304A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7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6AAB5727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00D06A6B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16518F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IGF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-I analogi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0143DA68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0,3</w:t>
            </w:r>
          </w:p>
          <w:p w14:paraId="231E7A23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Urīns</w:t>
            </w:r>
          </w:p>
          <w:p w14:paraId="63404696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33E0E4D6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2</w:t>
            </w:r>
          </w:p>
          <w:p w14:paraId="55B7BCF5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Plazma/serums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8ED55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11157FB1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196ED77B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568F386D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TB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-500 (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N-Ac LKKTETQ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)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8" w:space="0" w:color="000000"/>
            </w:tcBorders>
            <w:vAlign w:val="center"/>
          </w:tcPr>
          <w:p w14:paraId="4F749839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2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470093DB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2" w:space="0" w:color="000000"/>
            </w:tcBorders>
            <w:vAlign w:val="center"/>
          </w:tcPr>
          <w:p w14:paraId="7C350788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387D7AD5" w14:textId="77777777" w:rsidTr="00304A37">
        <w:tc>
          <w:tcPr>
            <w:tcW w:w="1776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4D52E3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S3. Bēta-2-agonisti</w:t>
            </w:r>
          </w:p>
        </w:tc>
        <w:tc>
          <w:tcPr>
            <w:tcW w:w="827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4D71BA10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20</w:t>
            </w:r>
          </w:p>
        </w:tc>
        <w:tc>
          <w:tcPr>
            <w:tcW w:w="560" w:type="pct"/>
            <w:tcBorders>
              <w:top w:val="single" w:sz="1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FBCB5C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3CB55034" w14:textId="77777777" w:rsidR="00D54BB7" w:rsidRPr="00D54BB7" w:rsidRDefault="00D54BB7" w:rsidP="00304A37">
            <w:pPr>
              <w:pStyle w:val="ListParagraph"/>
              <w:numPr>
                <w:ilvl w:val="0"/>
                <w:numId w:val="9"/>
              </w:numPr>
              <w:tabs>
                <w:tab w:val="left" w:pos="266"/>
              </w:tabs>
              <w:ind w:left="0" w:firstLine="0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Informāciju par salbutamolu un formoterolu, kas ir </w:t>
            </w:r>
            <w:r w:rsidRPr="00D54BB7">
              <w:rPr>
                <w:rFonts w:ascii="Times New Roman" w:hAnsi="Times New Roman"/>
                <w:noProof/>
                <w:sz w:val="24"/>
                <w:u w:val="single" w:color="000000"/>
                <w:lang w:val="en-US"/>
              </w:rPr>
              <w:t>sliekšņa vielas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, skatīt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TD DL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[1]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  <w:p w14:paraId="12D2B52F" w14:textId="77777777" w:rsidR="00D54BB7" w:rsidRPr="00D54BB7" w:rsidRDefault="00D54BB7" w:rsidP="00304A37">
            <w:pPr>
              <w:pStyle w:val="ListParagraph"/>
              <w:numPr>
                <w:ilvl w:val="0"/>
                <w:numId w:val="8"/>
              </w:numPr>
              <w:tabs>
                <w:tab w:val="left" w:pos="266"/>
              </w:tabs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Informāciju par tulobuterolu skatīt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-17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[15]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</w:tc>
      </w:tr>
      <w:tr w:rsidR="00D54BB7" w:rsidRPr="00D54BB7" w14:paraId="00E21F70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dotted" w:sz="8" w:space="0" w:color="000000"/>
              <w:right w:val="single" w:sz="5" w:space="0" w:color="000000"/>
            </w:tcBorders>
            <w:vAlign w:val="center"/>
          </w:tcPr>
          <w:p w14:paraId="40DDFE0B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Higenamīns, salmeterols, vilanterols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dotted" w:sz="8" w:space="0" w:color="000000"/>
              <w:right w:val="single" w:sz="8" w:space="0" w:color="000000"/>
            </w:tcBorders>
            <w:vAlign w:val="center"/>
          </w:tcPr>
          <w:p w14:paraId="1F67BC79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10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dotted" w:sz="8" w:space="0" w:color="000000"/>
              <w:right w:val="single" w:sz="5" w:space="0" w:color="000000"/>
            </w:tcBorders>
            <w:vAlign w:val="center"/>
          </w:tcPr>
          <w:p w14:paraId="69B62494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10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dotted" w:sz="8" w:space="0" w:color="000000"/>
              <w:right w:val="single" w:sz="12" w:space="0" w:color="000000"/>
            </w:tcBorders>
            <w:vAlign w:val="center"/>
          </w:tcPr>
          <w:p w14:paraId="0BA62B91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Higenamīna, salmeterola un vilanterola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MRL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 piemēro, lai noteiktu brīvos (nekonjugētos) sākumsavienojumus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.</w:t>
            </w:r>
          </w:p>
        </w:tc>
      </w:tr>
      <w:tr w:rsidR="00D54BB7" w:rsidRPr="00D54BB7" w14:paraId="4DE6A855" w14:textId="77777777" w:rsidTr="00304A37">
        <w:tc>
          <w:tcPr>
            <w:tcW w:w="1776" w:type="pct"/>
            <w:tcBorders>
              <w:top w:val="dotted" w:sz="8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7DDCC348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Tretokvinols</w:t>
            </w:r>
          </w:p>
        </w:tc>
        <w:tc>
          <w:tcPr>
            <w:tcW w:w="827" w:type="pct"/>
            <w:tcBorders>
              <w:top w:val="dotted" w:sz="8" w:space="0" w:color="000000"/>
              <w:left w:val="single" w:sz="5" w:space="0" w:color="000000"/>
              <w:bottom w:val="single" w:sz="19" w:space="0" w:color="000000"/>
              <w:right w:val="single" w:sz="8" w:space="0" w:color="000000"/>
            </w:tcBorders>
            <w:vAlign w:val="center"/>
          </w:tcPr>
          <w:p w14:paraId="193C98D2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20</w:t>
            </w:r>
          </w:p>
        </w:tc>
        <w:tc>
          <w:tcPr>
            <w:tcW w:w="560" w:type="pct"/>
            <w:tcBorders>
              <w:top w:val="dotted" w:sz="8" w:space="0" w:color="000000"/>
              <w:left w:val="single" w:sz="8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44BF7273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20</w:t>
            </w:r>
          </w:p>
        </w:tc>
        <w:tc>
          <w:tcPr>
            <w:tcW w:w="1837" w:type="pct"/>
            <w:tcBorders>
              <w:top w:val="dotted" w:sz="8" w:space="0" w:color="000000"/>
              <w:left w:val="single" w:sz="5" w:space="0" w:color="000000"/>
              <w:bottom w:val="single" w:sz="19" w:space="0" w:color="000000"/>
              <w:right w:val="single" w:sz="12" w:space="0" w:color="000000"/>
            </w:tcBorders>
            <w:vAlign w:val="center"/>
          </w:tcPr>
          <w:p w14:paraId="7F968E86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Skatīt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-16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[16]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</w:tc>
      </w:tr>
      <w:tr w:rsidR="00D54BB7" w:rsidRPr="00D54BB7" w14:paraId="6F248C7E" w14:textId="77777777" w:rsidTr="00304A37">
        <w:tc>
          <w:tcPr>
            <w:tcW w:w="1776" w:type="pct"/>
            <w:tcBorders>
              <w:top w:val="single" w:sz="19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4D4B63F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S4.1. Aromatāzes inhibitori</w:t>
            </w:r>
          </w:p>
        </w:tc>
        <w:tc>
          <w:tcPr>
            <w:tcW w:w="827" w:type="pct"/>
            <w:tcBorders>
              <w:top w:val="single" w:sz="19" w:space="0" w:color="000000"/>
              <w:left w:val="single" w:sz="5" w:space="0" w:color="000000"/>
              <w:bottom w:val="dotted" w:sz="5" w:space="0" w:color="000000"/>
              <w:right w:val="single" w:sz="8" w:space="0" w:color="000000"/>
            </w:tcBorders>
            <w:vAlign w:val="center"/>
          </w:tcPr>
          <w:p w14:paraId="0F6061E9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20</w:t>
            </w:r>
          </w:p>
        </w:tc>
        <w:tc>
          <w:tcPr>
            <w:tcW w:w="560" w:type="pct"/>
            <w:tcBorders>
              <w:top w:val="single" w:sz="19" w:space="0" w:color="000000"/>
              <w:left w:val="single" w:sz="8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F98E502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single" w:sz="19" w:space="0" w:color="000000"/>
              <w:left w:val="single" w:sz="5" w:space="0" w:color="000000"/>
              <w:bottom w:val="dotted" w:sz="5" w:space="0" w:color="000000"/>
              <w:right w:val="single" w:sz="12" w:space="0" w:color="000000"/>
            </w:tcBorders>
            <w:vAlign w:val="center"/>
          </w:tcPr>
          <w:p w14:paraId="279674DD" w14:textId="77777777" w:rsidR="00D54BB7" w:rsidRPr="00D54BB7" w:rsidRDefault="00D54BB7" w:rsidP="00304A37">
            <w:pPr>
              <w:pStyle w:val="ListParagraph"/>
              <w:numPr>
                <w:ilvl w:val="0"/>
                <w:numId w:val="7"/>
              </w:numPr>
              <w:tabs>
                <w:tab w:val="left" w:pos="268"/>
              </w:tabs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Informāciju par 6-okso skatīt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-12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[17]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  <w:p w14:paraId="520E14EE" w14:textId="77777777" w:rsidR="00D54BB7" w:rsidRPr="00D54BB7" w:rsidRDefault="00D54BB7" w:rsidP="00304A37">
            <w:pPr>
              <w:pStyle w:val="ListParagraph"/>
              <w:numPr>
                <w:ilvl w:val="0"/>
                <w:numId w:val="7"/>
              </w:numPr>
              <w:tabs>
                <w:tab w:val="left" w:pos="268"/>
              </w:tabs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Informāciju par testolaktonu skatīt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-18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[18]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  <w:p w14:paraId="0145D5B7" w14:textId="77777777" w:rsidR="00D54BB7" w:rsidRPr="00D54BB7" w:rsidRDefault="00D54BB7" w:rsidP="00304A37">
            <w:pPr>
              <w:pStyle w:val="ListParagraph"/>
              <w:numPr>
                <w:ilvl w:val="0"/>
                <w:numId w:val="7"/>
              </w:numPr>
              <w:tabs>
                <w:tab w:val="left" w:pos="268"/>
              </w:tabs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Informāciju par citiem aromatāzes inhibitoriem skatīt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-20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[11]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</w:tc>
      </w:tr>
      <w:tr w:rsidR="00D54BB7" w:rsidRPr="00D54BB7" w14:paraId="75CDC2A3" w14:textId="77777777" w:rsidTr="00304A37">
        <w:tc>
          <w:tcPr>
            <w:tcW w:w="1776" w:type="pct"/>
            <w:tcBorders>
              <w:top w:val="dotted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682EB4C2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Formestāns</w:t>
            </w:r>
          </w:p>
        </w:tc>
        <w:tc>
          <w:tcPr>
            <w:tcW w:w="827" w:type="pct"/>
            <w:tcBorders>
              <w:top w:val="dotted" w:sz="5" w:space="0" w:color="000000"/>
              <w:left w:val="single" w:sz="5" w:space="0" w:color="000000"/>
              <w:bottom w:val="single" w:sz="19" w:space="0" w:color="000000"/>
              <w:right w:val="single" w:sz="8" w:space="0" w:color="000000"/>
            </w:tcBorders>
            <w:vAlign w:val="center"/>
          </w:tcPr>
          <w:p w14:paraId="62D96CF0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50</w:t>
            </w:r>
          </w:p>
        </w:tc>
        <w:tc>
          <w:tcPr>
            <w:tcW w:w="560" w:type="pct"/>
            <w:tcBorders>
              <w:top w:val="dotted" w:sz="5" w:space="0" w:color="000000"/>
              <w:left w:val="single" w:sz="8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4A3513B2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150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(d)</w:t>
            </w:r>
          </w:p>
        </w:tc>
        <w:tc>
          <w:tcPr>
            <w:tcW w:w="1837" w:type="pct"/>
            <w:tcBorders>
              <w:top w:val="dotted" w:sz="5" w:space="0" w:color="000000"/>
              <w:left w:val="single" w:sz="5" w:space="0" w:color="000000"/>
              <w:bottom w:val="single" w:sz="19" w:space="0" w:color="000000"/>
              <w:right w:val="single" w:sz="12" w:space="0" w:color="000000"/>
            </w:tcBorders>
            <w:vAlign w:val="center"/>
          </w:tcPr>
          <w:p w14:paraId="71416BB4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Skat.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TD IRMS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[4]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</w:tc>
      </w:tr>
      <w:tr w:rsidR="00D54BB7" w:rsidRPr="00D54BB7" w14:paraId="0916EEF9" w14:textId="77777777" w:rsidTr="00304A37">
        <w:tc>
          <w:tcPr>
            <w:tcW w:w="1776" w:type="pct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71B0D6EE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 xml:space="preserve">S4.2. Antiestrogēniskās vielas un </w:t>
            </w:r>
            <w:r w:rsidRPr="00D54BB7">
              <w:rPr>
                <w:rFonts w:ascii="Times New Roman" w:hAnsi="Times New Roman"/>
                <w:b/>
                <w:i/>
                <w:iCs/>
                <w:noProof/>
                <w:sz w:val="24"/>
                <w:lang w:val="en-US"/>
              </w:rPr>
              <w:t>SERM</w:t>
            </w:r>
          </w:p>
        </w:tc>
        <w:tc>
          <w:tcPr>
            <w:tcW w:w="827" w:type="pct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8" w:space="0" w:color="000000"/>
            </w:tcBorders>
            <w:vAlign w:val="center"/>
          </w:tcPr>
          <w:p w14:paraId="28326212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20</w:t>
            </w:r>
          </w:p>
        </w:tc>
        <w:tc>
          <w:tcPr>
            <w:tcW w:w="560" w:type="pct"/>
            <w:tcBorders>
              <w:top w:val="single" w:sz="19" w:space="0" w:color="000000"/>
              <w:left w:val="single" w:sz="8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2FE91EE3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12" w:space="0" w:color="000000"/>
            </w:tcBorders>
            <w:vAlign w:val="center"/>
          </w:tcPr>
          <w:p w14:paraId="1D52B5D8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2248B60E" w14:textId="77777777" w:rsidTr="00304A37">
        <w:tc>
          <w:tcPr>
            <w:tcW w:w="1776" w:type="pct"/>
            <w:tcBorders>
              <w:top w:val="single" w:sz="19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FDA6F38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S4.4. Vielmaiņas modulatori</w:t>
            </w:r>
          </w:p>
        </w:tc>
        <w:tc>
          <w:tcPr>
            <w:tcW w:w="827" w:type="pct"/>
            <w:tcBorders>
              <w:top w:val="single" w:sz="19" w:space="0" w:color="000000"/>
              <w:left w:val="single" w:sz="5" w:space="0" w:color="000000"/>
              <w:bottom w:val="dotted" w:sz="5" w:space="0" w:color="000000"/>
              <w:right w:val="single" w:sz="8" w:space="0" w:color="000000"/>
            </w:tcBorders>
            <w:vAlign w:val="center"/>
          </w:tcPr>
          <w:p w14:paraId="09E989FE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10</w:t>
            </w:r>
          </w:p>
        </w:tc>
        <w:tc>
          <w:tcPr>
            <w:tcW w:w="560" w:type="pct"/>
            <w:tcBorders>
              <w:top w:val="single" w:sz="19" w:space="0" w:color="000000"/>
              <w:left w:val="single" w:sz="8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F5F9629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single" w:sz="19" w:space="0" w:color="000000"/>
              <w:left w:val="single" w:sz="5" w:space="0" w:color="000000"/>
              <w:bottom w:val="dotted" w:sz="5" w:space="0" w:color="000000"/>
              <w:right w:val="single" w:sz="12" w:space="0" w:color="000000"/>
            </w:tcBorders>
            <w:vAlign w:val="center"/>
          </w:tcPr>
          <w:p w14:paraId="71108845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Informāciju par trimetazidīnu skatīt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-13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[19]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</w:tc>
      </w:tr>
      <w:tr w:rsidR="00D54BB7" w:rsidRPr="00D54BB7" w14:paraId="583672FC" w14:textId="77777777" w:rsidTr="00304A37">
        <w:tc>
          <w:tcPr>
            <w:tcW w:w="1776" w:type="pct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A7CFBA5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GW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1516 un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GW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0742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metabolīti</w:t>
            </w:r>
          </w:p>
          <w:p w14:paraId="07CECA80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(sulfoksīds, sulfons)</w:t>
            </w:r>
          </w:p>
        </w:tc>
        <w:tc>
          <w:tcPr>
            <w:tcW w:w="827" w:type="pct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8" w:space="0" w:color="000000"/>
            </w:tcBorders>
            <w:vAlign w:val="center"/>
          </w:tcPr>
          <w:p w14:paraId="233B5702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2</w:t>
            </w:r>
          </w:p>
        </w:tc>
        <w:tc>
          <w:tcPr>
            <w:tcW w:w="560" w:type="pct"/>
            <w:tcBorders>
              <w:top w:val="dotted" w:sz="5" w:space="0" w:color="000000"/>
              <w:left w:val="single" w:sz="8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3685BEA5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12" w:space="0" w:color="000000"/>
            </w:tcBorders>
            <w:vAlign w:val="center"/>
          </w:tcPr>
          <w:p w14:paraId="43EF8E64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36670BAC" w14:textId="77777777" w:rsidTr="00304A37">
        <w:tc>
          <w:tcPr>
            <w:tcW w:w="1776" w:type="pct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3BE61386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Insulīni</w:t>
            </w:r>
          </w:p>
        </w:tc>
        <w:tc>
          <w:tcPr>
            <w:tcW w:w="827" w:type="pct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8" w:space="0" w:color="000000"/>
            </w:tcBorders>
            <w:vAlign w:val="center"/>
          </w:tcPr>
          <w:p w14:paraId="0487DDB1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0,05</w:t>
            </w:r>
          </w:p>
          <w:p w14:paraId="6B5072E4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Urīns</w:t>
            </w:r>
          </w:p>
          <w:p w14:paraId="08547963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2BC17573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0,3</w:t>
            </w:r>
          </w:p>
          <w:p w14:paraId="37C3963E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Plazma/serums</w:t>
            </w:r>
          </w:p>
        </w:tc>
        <w:tc>
          <w:tcPr>
            <w:tcW w:w="560" w:type="pct"/>
            <w:tcBorders>
              <w:top w:val="dotted" w:sz="5" w:space="0" w:color="000000"/>
              <w:left w:val="single" w:sz="8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5679DB7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12" w:space="0" w:color="000000"/>
            </w:tcBorders>
            <w:vAlign w:val="center"/>
          </w:tcPr>
          <w:p w14:paraId="531A6379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0C3F50CE" w14:textId="77777777" w:rsidTr="00304A37">
        <w:tc>
          <w:tcPr>
            <w:tcW w:w="1776" w:type="pct"/>
            <w:tcBorders>
              <w:top w:val="dotted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2A37A2D9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Meldonijs</w:t>
            </w:r>
          </w:p>
        </w:tc>
        <w:tc>
          <w:tcPr>
            <w:tcW w:w="827" w:type="pct"/>
            <w:tcBorders>
              <w:top w:val="dotted" w:sz="5" w:space="0" w:color="000000"/>
              <w:left w:val="single" w:sz="5" w:space="0" w:color="000000"/>
              <w:bottom w:val="single" w:sz="19" w:space="0" w:color="000000"/>
              <w:right w:val="single" w:sz="8" w:space="0" w:color="000000"/>
            </w:tcBorders>
            <w:vAlign w:val="center"/>
          </w:tcPr>
          <w:p w14:paraId="336F1EBF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100</w:t>
            </w:r>
          </w:p>
        </w:tc>
        <w:tc>
          <w:tcPr>
            <w:tcW w:w="560" w:type="pct"/>
            <w:tcBorders>
              <w:top w:val="dotted" w:sz="5" w:space="0" w:color="000000"/>
              <w:left w:val="single" w:sz="8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48FB5CE7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100</w:t>
            </w:r>
          </w:p>
        </w:tc>
        <w:tc>
          <w:tcPr>
            <w:tcW w:w="1837" w:type="pct"/>
            <w:tcBorders>
              <w:top w:val="dotted" w:sz="5" w:space="0" w:color="000000"/>
              <w:left w:val="single" w:sz="5" w:space="0" w:color="000000"/>
              <w:bottom w:val="single" w:sz="19" w:space="0" w:color="000000"/>
              <w:right w:val="single" w:sz="12" w:space="0" w:color="000000"/>
            </w:tcBorders>
            <w:vAlign w:val="center"/>
          </w:tcPr>
          <w:p w14:paraId="6E27E9C0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22DD54F1" w14:textId="77777777" w:rsidTr="00304A37">
        <w:tc>
          <w:tcPr>
            <w:tcW w:w="1776" w:type="pct"/>
            <w:tcBorders>
              <w:top w:val="single" w:sz="19" w:space="0" w:color="000000"/>
              <w:left w:val="single" w:sz="5" w:space="0" w:color="000000"/>
              <w:bottom w:val="dotted" w:sz="3" w:space="0" w:color="000000"/>
              <w:right w:val="single" w:sz="5" w:space="0" w:color="000000"/>
            </w:tcBorders>
            <w:vAlign w:val="center"/>
          </w:tcPr>
          <w:p w14:paraId="740BB198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S5. Diurētiskie līdzekļi un maskētājlīdzekļi</w:t>
            </w:r>
          </w:p>
        </w:tc>
        <w:tc>
          <w:tcPr>
            <w:tcW w:w="827" w:type="pct"/>
            <w:tcBorders>
              <w:top w:val="single" w:sz="19" w:space="0" w:color="000000"/>
              <w:left w:val="single" w:sz="5" w:space="0" w:color="000000"/>
              <w:bottom w:val="dotted" w:sz="3" w:space="0" w:color="000000"/>
              <w:right w:val="single" w:sz="8" w:space="0" w:color="000000"/>
            </w:tcBorders>
            <w:vAlign w:val="center"/>
          </w:tcPr>
          <w:p w14:paraId="7FA90E59" w14:textId="77777777" w:rsidR="00D54BB7" w:rsidRPr="00D54BB7" w:rsidRDefault="00D54BB7" w:rsidP="00304A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0" w:type="pct"/>
            <w:tcBorders>
              <w:top w:val="single" w:sz="19" w:space="0" w:color="000000"/>
              <w:left w:val="single" w:sz="8" w:space="0" w:color="000000"/>
              <w:bottom w:val="dotted" w:sz="3" w:space="0" w:color="000000"/>
              <w:right w:val="single" w:sz="5" w:space="0" w:color="000000"/>
            </w:tcBorders>
            <w:vAlign w:val="center"/>
          </w:tcPr>
          <w:p w14:paraId="13986F89" w14:textId="77777777" w:rsidR="00D54BB7" w:rsidRPr="00D54BB7" w:rsidRDefault="00D54BB7" w:rsidP="00304A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7" w:type="pct"/>
            <w:tcBorders>
              <w:top w:val="single" w:sz="19" w:space="0" w:color="000000"/>
              <w:left w:val="single" w:sz="5" w:space="0" w:color="000000"/>
              <w:bottom w:val="dotted" w:sz="3" w:space="0" w:color="000000"/>
              <w:right w:val="single" w:sz="12" w:space="0" w:color="000000"/>
            </w:tcBorders>
            <w:vAlign w:val="center"/>
          </w:tcPr>
          <w:p w14:paraId="59FB9058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69F720B8" w14:textId="77777777" w:rsidTr="00304A37">
        <w:tc>
          <w:tcPr>
            <w:tcW w:w="1776" w:type="pct"/>
            <w:tcBorders>
              <w:top w:val="dotted" w:sz="3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0105448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Diurētiskie līdzekļi</w:t>
            </w:r>
          </w:p>
        </w:tc>
        <w:tc>
          <w:tcPr>
            <w:tcW w:w="827" w:type="pct"/>
            <w:tcBorders>
              <w:top w:val="dotted" w:sz="3" w:space="0" w:color="000000"/>
              <w:left w:val="single" w:sz="5" w:space="0" w:color="000000"/>
              <w:bottom w:val="dotted" w:sz="5" w:space="0" w:color="000000"/>
              <w:right w:val="single" w:sz="8" w:space="0" w:color="000000"/>
            </w:tcBorders>
            <w:vAlign w:val="center"/>
          </w:tcPr>
          <w:p w14:paraId="2D7E0082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200</w:t>
            </w:r>
          </w:p>
        </w:tc>
        <w:tc>
          <w:tcPr>
            <w:tcW w:w="560" w:type="pct"/>
            <w:tcBorders>
              <w:top w:val="dotted" w:sz="3" w:space="0" w:color="000000"/>
              <w:left w:val="single" w:sz="8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5E65776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dotted" w:sz="3" w:space="0" w:color="000000"/>
              <w:left w:val="single" w:sz="5" w:space="0" w:color="000000"/>
              <w:bottom w:val="dotted" w:sz="5" w:space="0" w:color="000000"/>
              <w:right w:val="single" w:sz="12" w:space="0" w:color="000000"/>
            </w:tcBorders>
            <w:vAlign w:val="center"/>
          </w:tcPr>
          <w:p w14:paraId="00B63AB7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Informāciju par hlorazanīlu skatīt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-06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[20]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</w:tc>
      </w:tr>
      <w:tr w:rsidR="00D54BB7" w:rsidRPr="00D54BB7" w14:paraId="6F530D1A" w14:textId="77777777" w:rsidTr="00304A37">
        <w:tc>
          <w:tcPr>
            <w:tcW w:w="1776" w:type="pct"/>
            <w:tcBorders>
              <w:top w:val="dotted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vAlign w:val="center"/>
          </w:tcPr>
          <w:p w14:paraId="48AF336C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Acetazolamīds, bumetanīds, furosemīds, hidrohlortiazīds, torazemīds, triamterēns</w:t>
            </w:r>
          </w:p>
        </w:tc>
        <w:tc>
          <w:tcPr>
            <w:tcW w:w="827" w:type="pct"/>
            <w:tcBorders>
              <w:top w:val="dotted" w:sz="5" w:space="0" w:color="000000"/>
              <w:left w:val="single" w:sz="5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04548FDA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20</w:t>
            </w:r>
          </w:p>
        </w:tc>
        <w:tc>
          <w:tcPr>
            <w:tcW w:w="560" w:type="pct"/>
            <w:tcBorders>
              <w:top w:val="dotted" w:sz="5" w:space="0" w:color="000000"/>
              <w:left w:val="single" w:sz="8" w:space="0" w:color="000000"/>
              <w:bottom w:val="dotted" w:sz="4" w:space="0" w:color="000000"/>
              <w:right w:val="single" w:sz="5" w:space="0" w:color="000000"/>
            </w:tcBorders>
            <w:vAlign w:val="center"/>
          </w:tcPr>
          <w:p w14:paraId="3B1F5AF6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20</w:t>
            </w:r>
          </w:p>
        </w:tc>
        <w:tc>
          <w:tcPr>
            <w:tcW w:w="1837" w:type="pct"/>
            <w:tcBorders>
              <w:top w:val="dotted" w:sz="5" w:space="0" w:color="000000"/>
              <w:left w:val="single" w:sz="5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CF1751F" w14:textId="77777777" w:rsidR="00D54BB7" w:rsidRPr="00D54BB7" w:rsidRDefault="00D54BB7" w:rsidP="00304A37">
            <w:pPr>
              <w:pStyle w:val="ListParagraph"/>
              <w:numPr>
                <w:ilvl w:val="0"/>
                <w:numId w:val="6"/>
              </w:numPr>
              <w:tabs>
                <w:tab w:val="left" w:pos="266"/>
              </w:tabs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Informāciju par šiem sešiem (6) diurētiskajiem līdzekļiem skatīt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-24 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[21]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  <w:p w14:paraId="1626F35E" w14:textId="77777777" w:rsidR="00D54BB7" w:rsidRPr="00D54BB7" w:rsidRDefault="00D54BB7" w:rsidP="00304A37">
            <w:pPr>
              <w:pStyle w:val="ListParagraph"/>
              <w:numPr>
                <w:ilvl w:val="0"/>
                <w:numId w:val="5"/>
              </w:numPr>
              <w:tabs>
                <w:tab w:val="left" w:pos="266"/>
              </w:tabs>
              <w:ind w:left="0" w:firstLine="0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Par visiem pārējiem diurētiskajiem līdzekļiem, kas šeit nav īpaši uzskaitīti, apstiprinātas atrades neatkarīgi no koncentrācijas (saskaņā ar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TD IDCR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[7]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 noteiktajiem identifikācijas kritērijiem) paziņo kā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AAF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</w:tc>
      </w:tr>
      <w:tr w:rsidR="00D54BB7" w:rsidRPr="00D54BB7" w14:paraId="12BDE0BC" w14:textId="77777777" w:rsidTr="00304A37">
        <w:tc>
          <w:tcPr>
            <w:tcW w:w="1776" w:type="pct"/>
            <w:tcBorders>
              <w:top w:val="dotted" w:sz="4" w:space="0" w:color="000000"/>
              <w:left w:val="dotted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02A81E0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Maskētājlīdzekļi</w:t>
            </w:r>
          </w:p>
        </w:tc>
        <w:tc>
          <w:tcPr>
            <w:tcW w:w="827" w:type="pct"/>
            <w:tcBorders>
              <w:top w:val="dotted" w:sz="4" w:space="0" w:color="000000"/>
              <w:left w:val="single" w:sz="5" w:space="0" w:color="000000"/>
              <w:bottom w:val="dotted" w:sz="5" w:space="0" w:color="000000"/>
              <w:right w:val="single" w:sz="8" w:space="0" w:color="000000"/>
            </w:tcBorders>
            <w:vAlign w:val="center"/>
          </w:tcPr>
          <w:p w14:paraId="59C549B6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200</w:t>
            </w:r>
          </w:p>
        </w:tc>
        <w:tc>
          <w:tcPr>
            <w:tcW w:w="560" w:type="pct"/>
            <w:tcBorders>
              <w:top w:val="dotted" w:sz="4" w:space="0" w:color="000000"/>
              <w:left w:val="single" w:sz="8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0A9B512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dotted" w:sz="4" w:space="0" w:color="000000"/>
              <w:left w:val="single" w:sz="5" w:space="0" w:color="000000"/>
              <w:bottom w:val="dotted" w:sz="5" w:space="0" w:color="000000"/>
              <w:right w:val="single" w:sz="12" w:space="0" w:color="000000"/>
            </w:tcBorders>
            <w:vAlign w:val="center"/>
          </w:tcPr>
          <w:p w14:paraId="099420E0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7CDDAE12" w14:textId="77777777" w:rsidTr="00304A37">
        <w:tc>
          <w:tcPr>
            <w:tcW w:w="1776" w:type="pct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963437C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Desmopresīns un tā analogi</w:t>
            </w:r>
          </w:p>
        </w:tc>
        <w:tc>
          <w:tcPr>
            <w:tcW w:w="827" w:type="pct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8" w:space="0" w:color="000000"/>
            </w:tcBorders>
            <w:vAlign w:val="center"/>
          </w:tcPr>
          <w:p w14:paraId="1020AA34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2</w:t>
            </w:r>
          </w:p>
        </w:tc>
        <w:tc>
          <w:tcPr>
            <w:tcW w:w="560" w:type="pct"/>
            <w:tcBorders>
              <w:top w:val="dotted" w:sz="5" w:space="0" w:color="000000"/>
              <w:left w:val="single" w:sz="8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02E46EC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12" w:space="0" w:color="000000"/>
            </w:tcBorders>
            <w:vAlign w:val="center"/>
          </w:tcPr>
          <w:p w14:paraId="1A63AC82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27F4629F" w14:textId="77777777" w:rsidTr="00304A37">
        <w:tc>
          <w:tcPr>
            <w:tcW w:w="1776" w:type="pct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F6BE73E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Dekstrāns, mannīts</w:t>
            </w:r>
          </w:p>
        </w:tc>
        <w:tc>
          <w:tcPr>
            <w:tcW w:w="827" w:type="pct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8" w:space="0" w:color="000000"/>
            </w:tcBorders>
            <w:vAlign w:val="center"/>
          </w:tcPr>
          <w:p w14:paraId="4993155B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5 000 000</w:t>
            </w:r>
          </w:p>
          <w:p w14:paraId="2AA72A1D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(5 mg/ml)</w:t>
            </w:r>
          </w:p>
        </w:tc>
        <w:tc>
          <w:tcPr>
            <w:tcW w:w="560" w:type="pct"/>
            <w:tcBorders>
              <w:top w:val="dotted" w:sz="5" w:space="0" w:color="000000"/>
              <w:left w:val="single" w:sz="8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A075D25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5 000 000</w:t>
            </w:r>
          </w:p>
          <w:p w14:paraId="378D40A4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(5 mg/ml)</w:t>
            </w:r>
          </w:p>
        </w:tc>
        <w:tc>
          <w:tcPr>
            <w:tcW w:w="1837" w:type="pct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12" w:space="0" w:color="000000"/>
            </w:tcBorders>
            <w:vAlign w:val="center"/>
          </w:tcPr>
          <w:p w14:paraId="40F59225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Dekstrāna un mannīta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 xml:space="preserve">MRL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piemēro brīvajam (nekonjugētajam) sākumsavienojumam.</w:t>
            </w:r>
          </w:p>
        </w:tc>
      </w:tr>
      <w:tr w:rsidR="00D54BB7" w:rsidRPr="00D54BB7" w14:paraId="1CD74BEB" w14:textId="77777777" w:rsidTr="00304A37">
        <w:tc>
          <w:tcPr>
            <w:tcW w:w="1776" w:type="pct"/>
            <w:tcBorders>
              <w:top w:val="dotted" w:sz="5" w:space="0" w:color="000000"/>
              <w:left w:val="dotted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7824AF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HES</w:t>
            </w:r>
          </w:p>
        </w:tc>
        <w:tc>
          <w:tcPr>
            <w:tcW w:w="827" w:type="pct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4D242CE2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200 000</w:t>
            </w:r>
          </w:p>
          <w:p w14:paraId="7FDAB5BC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(200 µg/ml)</w:t>
            </w:r>
          </w:p>
        </w:tc>
        <w:tc>
          <w:tcPr>
            <w:tcW w:w="560" w:type="pct"/>
            <w:tcBorders>
              <w:top w:val="dotted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AF31F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7BCDAF9E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6853012F" w14:textId="77777777" w:rsidTr="00304A37">
        <w:tc>
          <w:tcPr>
            <w:tcW w:w="1776" w:type="pct"/>
            <w:tcBorders>
              <w:top w:val="single" w:sz="5" w:space="0" w:color="000000"/>
              <w:left w:val="dotted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0A88323E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Probenecīds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8" w:space="0" w:color="000000"/>
            </w:tcBorders>
            <w:vAlign w:val="center"/>
          </w:tcPr>
          <w:p w14:paraId="25FC2D05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200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5657F102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200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2" w:space="0" w:color="000000"/>
            </w:tcBorders>
            <w:vAlign w:val="center"/>
          </w:tcPr>
          <w:p w14:paraId="06C5AB8D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Probenecīda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 xml:space="preserve">MRL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piemēro brīvajam (nekonjugētajam) sākumsavienojumam.</w:t>
            </w:r>
          </w:p>
        </w:tc>
      </w:tr>
      <w:tr w:rsidR="00D54BB7" w:rsidRPr="00D54BB7" w14:paraId="5BB010E1" w14:textId="77777777" w:rsidTr="00304A37">
        <w:tc>
          <w:tcPr>
            <w:tcW w:w="1776" w:type="pct"/>
            <w:tcBorders>
              <w:top w:val="single" w:sz="19" w:space="0" w:color="000000"/>
              <w:left w:val="dotted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1546B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M1.2. Skābekļa piesaistes, pārneses vai piegādes mākslīga veicināšana</w:t>
            </w:r>
          </w:p>
        </w:tc>
        <w:tc>
          <w:tcPr>
            <w:tcW w:w="827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57F07FBC" w14:textId="77777777" w:rsidR="00D54BB7" w:rsidRPr="00D54BB7" w:rsidRDefault="00D54BB7" w:rsidP="00304A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0" w:type="pct"/>
            <w:tcBorders>
              <w:top w:val="single" w:sz="1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13A98" w14:textId="77777777" w:rsidR="00D54BB7" w:rsidRPr="00D54BB7" w:rsidRDefault="00D54BB7" w:rsidP="00304A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7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6D11B740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28A06C1A" w14:textId="77777777" w:rsidTr="00304A37">
        <w:tc>
          <w:tcPr>
            <w:tcW w:w="1776" w:type="pct"/>
            <w:tcBorders>
              <w:top w:val="single" w:sz="5" w:space="0" w:color="000000"/>
              <w:left w:val="dotted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0C8460AE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Efaproksirāls (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RSR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13)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8" w:space="0" w:color="000000"/>
            </w:tcBorders>
            <w:vAlign w:val="center"/>
          </w:tcPr>
          <w:p w14:paraId="4D7DBDFD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10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6BEE7763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N/P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2" w:space="0" w:color="000000"/>
            </w:tcBorders>
            <w:vAlign w:val="center"/>
          </w:tcPr>
          <w:p w14:paraId="3667010F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049D6628" w14:textId="77777777" w:rsidTr="00304A37">
        <w:tc>
          <w:tcPr>
            <w:tcW w:w="1776" w:type="pct"/>
            <w:tcBorders>
              <w:top w:val="single" w:sz="19" w:space="0" w:color="000000"/>
              <w:left w:val="dotted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FD825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S6. Stimulējošie līdzekļi</w:t>
            </w:r>
          </w:p>
        </w:tc>
        <w:tc>
          <w:tcPr>
            <w:tcW w:w="827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50F3CDD8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50</w:t>
            </w:r>
          </w:p>
        </w:tc>
        <w:tc>
          <w:tcPr>
            <w:tcW w:w="560" w:type="pct"/>
            <w:tcBorders>
              <w:top w:val="single" w:sz="1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CBF78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50</w:t>
            </w:r>
          </w:p>
        </w:tc>
        <w:tc>
          <w:tcPr>
            <w:tcW w:w="1837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33BA3CEE" w14:textId="77777777" w:rsidR="00D54BB7" w:rsidRPr="00D54BB7" w:rsidRDefault="00D54BB7" w:rsidP="00304A37">
            <w:pPr>
              <w:pStyle w:val="ListParagraph"/>
              <w:numPr>
                <w:ilvl w:val="0"/>
                <w:numId w:val="4"/>
              </w:numPr>
              <w:tabs>
                <w:tab w:val="left" w:pos="266"/>
              </w:tabs>
              <w:ind w:left="0" w:firstLine="0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Informāciju par katīnu, efedrīnu, metilefedrīnu un pseidoefedrīnu, kas ir </w:t>
            </w:r>
            <w:r w:rsidRPr="00D54BB7">
              <w:rPr>
                <w:rFonts w:ascii="Times New Roman" w:hAnsi="Times New Roman"/>
                <w:noProof/>
                <w:sz w:val="24"/>
                <w:u w:val="single" w:color="000000"/>
                <w:lang w:val="en-US"/>
              </w:rPr>
              <w:t>sliekšņa vielas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, skatīt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TD DL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[1]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  <w:p w14:paraId="0AC0443D" w14:textId="77777777" w:rsidR="00D54BB7" w:rsidRPr="00D54BB7" w:rsidRDefault="00D54BB7" w:rsidP="00304A37">
            <w:pPr>
              <w:pStyle w:val="ListParagraph"/>
              <w:numPr>
                <w:ilvl w:val="0"/>
                <w:numId w:val="4"/>
              </w:numPr>
              <w:tabs>
                <w:tab w:val="left" w:pos="266"/>
              </w:tabs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Informāciju par fentermīnu un mefentermīnu skatīt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-09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[22]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  <w:p w14:paraId="0D06A078" w14:textId="77777777" w:rsidR="00D54BB7" w:rsidRPr="00D54BB7" w:rsidRDefault="00D54BB7" w:rsidP="00304A37">
            <w:pPr>
              <w:pStyle w:val="ListParagraph"/>
              <w:numPr>
                <w:ilvl w:val="0"/>
                <w:numId w:val="4"/>
              </w:numPr>
              <w:tabs>
                <w:tab w:val="left" w:pos="266"/>
              </w:tabs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Informāciju par meklofenoksātu skatīt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-01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[23]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  <w:p w14:paraId="5246D9EF" w14:textId="77777777" w:rsidR="00D54BB7" w:rsidRPr="00D54BB7" w:rsidRDefault="00D54BB7" w:rsidP="00304A37">
            <w:pPr>
              <w:pStyle w:val="ListParagraph"/>
              <w:numPr>
                <w:ilvl w:val="0"/>
                <w:numId w:val="4"/>
              </w:numPr>
              <w:tabs>
                <w:tab w:val="left" w:pos="266"/>
              </w:tabs>
              <w:ind w:left="0" w:firstLine="0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Informāciju par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 xml:space="preserve">parahidroksiamfetamīnu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skatīt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-02 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[24]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  <w:p w14:paraId="03238476" w14:textId="77777777" w:rsidR="00D54BB7" w:rsidRPr="00D54BB7" w:rsidRDefault="00D54BB7" w:rsidP="00304A37">
            <w:pPr>
              <w:pStyle w:val="ListParagraph"/>
              <w:numPr>
                <w:ilvl w:val="0"/>
                <w:numId w:val="4"/>
              </w:numPr>
              <w:tabs>
                <w:tab w:val="left" w:pos="266"/>
              </w:tabs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Informāciju par oksilofrīnu (metilsinefrīnu) skatīt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-05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[25]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</w:tc>
      </w:tr>
      <w:tr w:rsidR="00D54BB7" w:rsidRPr="00D54BB7" w14:paraId="7DB767B4" w14:textId="77777777" w:rsidTr="00304A37">
        <w:tc>
          <w:tcPr>
            <w:tcW w:w="1776" w:type="pct"/>
            <w:tcBorders>
              <w:top w:val="single" w:sz="5" w:space="0" w:color="000000"/>
              <w:left w:val="dotted" w:sz="5" w:space="0" w:color="000000"/>
              <w:right w:val="single" w:sz="5" w:space="0" w:color="000000"/>
            </w:tcBorders>
            <w:vAlign w:val="center"/>
          </w:tcPr>
          <w:p w14:paraId="2564C45B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Kokaīns (sākumsavienojums)</w:t>
            </w:r>
          </w:p>
          <w:p w14:paraId="25CDADE5" w14:textId="77777777" w:rsidR="00D54BB7" w:rsidRPr="00D54BB7" w:rsidRDefault="00D54BB7" w:rsidP="00304A37"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5E94E26C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Benzoilekgonīns (nozīmīgs kokaīna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metabolīts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)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  <w:vAlign w:val="center"/>
          </w:tcPr>
          <w:p w14:paraId="10BF4295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10</w:t>
            </w:r>
          </w:p>
          <w:p w14:paraId="146A1B28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45A09CE1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50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  <w:vAlign w:val="center"/>
          </w:tcPr>
          <w:p w14:paraId="3DAF4B4A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10</w:t>
            </w:r>
          </w:p>
          <w:p w14:paraId="08E830C6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4EA3DC11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50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  <w:vAlign w:val="center"/>
          </w:tcPr>
          <w:p w14:paraId="7F3E6498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u w:val="single" w:color="000000"/>
                <w:lang w:val="en-US"/>
              </w:rPr>
              <w:t xml:space="preserve">Laboratorija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ziņo attiecīgā(-o) mērķa(-u) </w:t>
            </w:r>
            <w:r w:rsidRPr="00D54BB7">
              <w:rPr>
                <w:rFonts w:ascii="Times New Roman" w:hAnsi="Times New Roman"/>
                <w:noProof/>
                <w:sz w:val="24"/>
                <w:u w:val="single"/>
                <w:lang w:val="en-US"/>
              </w:rPr>
              <w:t xml:space="preserve">analīta(-u)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(t. i., kokaīna un/vai benzoilekgonīna), kas pamato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AAF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, aprēķināto koncentrāciju (t. i., klātbūtne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 xml:space="preserve">paraugā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ir augstākā līmenī nekā (&gt;) atbilstošais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MRL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).</w:t>
            </w:r>
          </w:p>
          <w:p w14:paraId="17A6150E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Papildus tam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 xml:space="preserve">rezultātu pārvaldības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nolūkos, ja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 xml:space="preserve">benzoilekgonīna klātbūtne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 xml:space="preserve">paraugā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ir augstākā līmenī nekā (&gt;) tā 50 ng/ml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 xml:space="preserve">MRL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(un</w:t>
            </w:r>
          </w:p>
          <w:p w14:paraId="59827B0C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ziņots kā par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AAF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), bet kokaīna nav vai arī tā līmenis ir zemāks par 10 ng/ml vai vienāds ar to (≤), </w:t>
            </w:r>
            <w:r w:rsidRPr="00D54BB7">
              <w:rPr>
                <w:rFonts w:ascii="Times New Roman" w:hAnsi="Times New Roman"/>
                <w:noProof/>
                <w:sz w:val="24"/>
                <w:u w:val="single" w:color="000000"/>
                <w:lang w:val="en-US"/>
              </w:rPr>
              <w:t>laboratorija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 arī apstiprina kokaīna klātbūtni (vai neesību)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paraugā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 un pārbaudes ziņojumā norāda aprēķināto kokaīna koncentrāciju (ja tā ir no 1 līdz 10 ng/ml).</w:t>
            </w:r>
          </w:p>
        </w:tc>
      </w:tr>
      <w:tr w:rsidR="00D54BB7" w:rsidRPr="00D54BB7" w14:paraId="0E8C0769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00125743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Oktopamīns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8" w:space="0" w:color="000000"/>
            </w:tcBorders>
            <w:vAlign w:val="center"/>
          </w:tcPr>
          <w:p w14:paraId="5AAA43FC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1000</w:t>
            </w:r>
          </w:p>
          <w:p w14:paraId="50FEFF8D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(1 µg/ml)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619EA601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1000</w:t>
            </w:r>
          </w:p>
          <w:p w14:paraId="1E534FC7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(1 µg/ml)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2" w:space="0" w:color="000000"/>
            </w:tcBorders>
            <w:vAlign w:val="center"/>
          </w:tcPr>
          <w:p w14:paraId="7D284FD8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Oktopamīna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MRL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 piemēro sākumsavienojuma (brīvā forma + II fāzes sulfāta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metabolīts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) kopējai koncentrācijai.</w:t>
            </w:r>
          </w:p>
        </w:tc>
      </w:tr>
      <w:tr w:rsidR="00D54BB7" w:rsidRPr="00D54BB7" w14:paraId="71A7C15C" w14:textId="77777777" w:rsidTr="00304A37">
        <w:tc>
          <w:tcPr>
            <w:tcW w:w="1776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04F706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S7. Narkotiskās vielas</w:t>
            </w:r>
          </w:p>
        </w:tc>
        <w:tc>
          <w:tcPr>
            <w:tcW w:w="827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32857DA4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25</w:t>
            </w:r>
          </w:p>
        </w:tc>
        <w:tc>
          <w:tcPr>
            <w:tcW w:w="560" w:type="pct"/>
            <w:tcBorders>
              <w:top w:val="single" w:sz="1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1DBF6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25</w:t>
            </w:r>
          </w:p>
        </w:tc>
        <w:tc>
          <w:tcPr>
            <w:tcW w:w="1837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01D04EFA" w14:textId="77777777" w:rsidR="00D54BB7" w:rsidRPr="00D54BB7" w:rsidRDefault="00D54BB7" w:rsidP="00304A37">
            <w:pPr>
              <w:pStyle w:val="ListParagraph"/>
              <w:numPr>
                <w:ilvl w:val="0"/>
                <w:numId w:val="3"/>
              </w:numPr>
              <w:tabs>
                <w:tab w:val="left" w:pos="268"/>
              </w:tabs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Informāciju par hidromorfonu skatīt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-15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[26]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  <w:p w14:paraId="2F7281CC" w14:textId="77777777" w:rsidR="00D54BB7" w:rsidRPr="00D54BB7" w:rsidRDefault="00D54BB7" w:rsidP="00304A37">
            <w:pPr>
              <w:pStyle w:val="ListParagraph"/>
              <w:numPr>
                <w:ilvl w:val="0"/>
                <w:numId w:val="3"/>
              </w:numPr>
              <w:tabs>
                <w:tab w:val="left" w:pos="268"/>
              </w:tabs>
              <w:ind w:left="0" w:firstLine="0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Informāciju par morfiju, kas ir </w:t>
            </w:r>
            <w:r w:rsidRPr="00D54BB7">
              <w:rPr>
                <w:rFonts w:ascii="Times New Roman" w:hAnsi="Times New Roman"/>
                <w:noProof/>
                <w:sz w:val="24"/>
                <w:u w:val="single" w:color="000000"/>
                <w:lang w:val="en-US"/>
              </w:rPr>
              <w:t>sliekšņa viela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, skatīt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TD DL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 xml:space="preserve">[1]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un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-22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[27]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  <w:p w14:paraId="56EA32B2" w14:textId="77777777" w:rsidR="00D54BB7" w:rsidRPr="00D54BB7" w:rsidRDefault="00D54BB7" w:rsidP="00304A37">
            <w:pPr>
              <w:pStyle w:val="ListParagraph"/>
              <w:numPr>
                <w:ilvl w:val="0"/>
                <w:numId w:val="2"/>
              </w:numPr>
              <w:tabs>
                <w:tab w:val="left" w:pos="268"/>
              </w:tabs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Informāciju par oksimorfonu skatīt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-01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[28]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</w:tc>
      </w:tr>
      <w:tr w:rsidR="00D54BB7" w:rsidRPr="00D54BB7" w14:paraId="19144233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1D970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Buprenorfīns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00EF70A3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2,5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0D39C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2,5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0C8302EF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0CF5C56E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393C5AEC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Fentanils (un tā atvasinājumi)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8" w:space="0" w:color="000000"/>
            </w:tcBorders>
            <w:vAlign w:val="center"/>
          </w:tcPr>
          <w:p w14:paraId="5B78D2A5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4535E5A6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2" w:space="0" w:color="000000"/>
            </w:tcBorders>
            <w:vAlign w:val="center"/>
          </w:tcPr>
          <w:p w14:paraId="3FB7E5C0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38AE3FFA" w14:textId="77777777" w:rsidTr="00304A37">
        <w:tc>
          <w:tcPr>
            <w:tcW w:w="1776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3B5CC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S8. Kanabinoīdi</w:t>
            </w:r>
          </w:p>
        </w:tc>
        <w:tc>
          <w:tcPr>
            <w:tcW w:w="827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62822CB9" w14:textId="77777777" w:rsidR="00D54BB7" w:rsidRPr="00D54BB7" w:rsidRDefault="00D54BB7" w:rsidP="00304A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60" w:type="pct"/>
            <w:tcBorders>
              <w:top w:val="single" w:sz="1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A9857" w14:textId="77777777" w:rsidR="00D54BB7" w:rsidRPr="00D54BB7" w:rsidRDefault="00D54BB7" w:rsidP="00304A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7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46B300FF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Informāciju par 11-nor-Δ9-tetrahidrokanabinol-9-karbonskābi (karboksi-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THC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), kas ir </w:t>
            </w:r>
            <w:r w:rsidRPr="00D54BB7">
              <w:rPr>
                <w:rFonts w:ascii="Times New Roman" w:hAnsi="Times New Roman"/>
                <w:noProof/>
                <w:sz w:val="24"/>
                <w:u w:val="single" w:color="000000"/>
                <w:lang w:val="en-US"/>
              </w:rPr>
              <w:t>sliekšņa viela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, skatīt</w:t>
            </w:r>
          </w:p>
          <w:p w14:paraId="5C3A03BD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TD DL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[1]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</w:tc>
      </w:tr>
      <w:tr w:rsidR="00D54BB7" w:rsidRPr="00D54BB7" w14:paraId="667C29E6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0FD93D41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Kanabinoīdu mimētiskie līdzekļi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8" w:space="0" w:color="000000"/>
            </w:tcBorders>
            <w:vAlign w:val="center"/>
          </w:tcPr>
          <w:p w14:paraId="1C0F9B84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1DCDD393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2" w:space="0" w:color="000000"/>
            </w:tcBorders>
            <w:vAlign w:val="center"/>
          </w:tcPr>
          <w:p w14:paraId="7C3A5FDA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00D9AEB2" w14:textId="77777777" w:rsidTr="00304A37">
        <w:tc>
          <w:tcPr>
            <w:tcW w:w="1776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05890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S9. Glikokortikoīdi</w:t>
            </w:r>
          </w:p>
          <w:p w14:paraId="3F325764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(piemēram, beklometazons, ciklesonīds, flumetazons, flunisolīds, fluokortolons, fluormetolons, metilprednizolons, mometazons, triamcinolons)</w:t>
            </w:r>
          </w:p>
        </w:tc>
        <w:tc>
          <w:tcPr>
            <w:tcW w:w="827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094F7152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30</w:t>
            </w:r>
          </w:p>
        </w:tc>
        <w:tc>
          <w:tcPr>
            <w:tcW w:w="560" w:type="pct"/>
            <w:tcBorders>
              <w:top w:val="single" w:sz="1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B1009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30</w:t>
            </w:r>
          </w:p>
        </w:tc>
        <w:tc>
          <w:tcPr>
            <w:tcW w:w="1837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6E62FA6A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Šo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 xml:space="preserve">MRL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piemēro sākumsavienojuma (brīvā forma + II fāzes glukuronīds) kopējai koncentrācijai.</w:t>
            </w:r>
          </w:p>
          <w:p w14:paraId="662DA9D8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Šo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 xml:space="preserve">MRL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nepiemēro endogēni iegūtam kortizonam un hidrokortizonam (kortizolam).</w:t>
            </w:r>
          </w:p>
        </w:tc>
      </w:tr>
      <w:tr w:rsidR="00D54BB7" w:rsidRPr="00D54BB7" w14:paraId="75CC9DB5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A0F935E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Betametazons, deksametazons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  <w:vAlign w:val="center"/>
          </w:tcPr>
          <w:p w14:paraId="0295598A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60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  <w:vAlign w:val="center"/>
          </w:tcPr>
          <w:p w14:paraId="3698C0A6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60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  <w:vAlign w:val="center"/>
          </w:tcPr>
          <w:p w14:paraId="1D237F05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Šo betametazona un deksametozona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 xml:space="preserve">MRL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piemēro sākumsavienojuma (brīvā forma + II fāzes glukuronīds) kopējai koncentrācijai.</w:t>
            </w:r>
          </w:p>
        </w:tc>
      </w:tr>
      <w:tr w:rsidR="00D54BB7" w:rsidRPr="00D54BB7" w14:paraId="5F88CC3A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CB201D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Dezacetildeflazakorts (deflazakorta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metabolīts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),</w:t>
            </w:r>
          </w:p>
          <w:p w14:paraId="1C9BE003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flutikazona propionāta-17β-karboksilskābe (flutikazona propionāta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metabolīts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)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22EDA703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30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CE25A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30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EF45C61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5B806C13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FC8DB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 xml:space="preserve">6β-hidroksibudesonīds (budesonīda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metabolīts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)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5E992FBB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45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C8FF49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45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7AF67200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1724E37C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BEFB54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Prednizolons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01BCAAF9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100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7C3AF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100</w:t>
            </w:r>
          </w:p>
        </w:tc>
        <w:tc>
          <w:tcPr>
            <w:tcW w:w="183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  <w:vAlign w:val="center"/>
          </w:tcPr>
          <w:p w14:paraId="651AF760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Prednizona un prednizolona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 xml:space="preserve">MRL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piemēro sākumsavienojumu (brīvā forma + II fāzes glukuronīds) kopējai koncentrācijai.</w:t>
            </w:r>
          </w:p>
          <w:p w14:paraId="569116CF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Par apstiprinātām prednizolona un prednizona atradēm aprēķinātā koncentrācijā, kas ir augstāka par (&gt;) attiecīgo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MRL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, paziņo kā par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AAF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, ja vien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paraugā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 nav izteiktas noārdīšanās pazīmju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[8]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; pēdējā no minētajiem gadījumiem par atradi paziņo kā par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>ATF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</w:tc>
      </w:tr>
      <w:tr w:rsidR="00D54BB7" w:rsidRPr="00D54BB7" w14:paraId="643CD31B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7CF2E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Prednizons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61140E52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300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64E4F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300</w:t>
            </w:r>
          </w:p>
        </w:tc>
        <w:tc>
          <w:tcPr>
            <w:tcW w:w="1837" w:type="pct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2AA70378" w14:textId="77777777" w:rsidR="00D54BB7" w:rsidRPr="00D54BB7" w:rsidRDefault="00D54BB7" w:rsidP="00304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54BB7" w:rsidRPr="00D54BB7" w14:paraId="32D7C522" w14:textId="77777777" w:rsidTr="00304A37">
        <w:tc>
          <w:tcPr>
            <w:tcW w:w="1776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0C7B9BB6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Triamcinolona acetonīds</w:t>
            </w:r>
          </w:p>
        </w:tc>
        <w:tc>
          <w:tcPr>
            <w:tcW w:w="827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8" w:space="0" w:color="000000"/>
            </w:tcBorders>
            <w:vAlign w:val="center"/>
          </w:tcPr>
          <w:p w14:paraId="7D1153FB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15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8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1CCFAD3C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15</w:t>
            </w:r>
          </w:p>
        </w:tc>
        <w:tc>
          <w:tcPr>
            <w:tcW w:w="1837" w:type="pct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2" w:space="0" w:color="000000"/>
            </w:tcBorders>
            <w:vAlign w:val="center"/>
          </w:tcPr>
          <w:p w14:paraId="6635A3BF" w14:textId="77777777" w:rsidR="00D54BB7" w:rsidRPr="00D54BB7" w:rsidRDefault="00D54BB7" w:rsidP="00304A37">
            <w:pPr>
              <w:pStyle w:val="TableParagraph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Šo triamcinolona acetonīda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 xml:space="preserve">MRL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piemēro sākumsavienojuma (brīvā forma + II fāzes glukuronīds) kopējai koncentrācijai.</w:t>
            </w:r>
          </w:p>
        </w:tc>
      </w:tr>
      <w:tr w:rsidR="00D54BB7" w:rsidRPr="00D54BB7" w14:paraId="3D539D99" w14:textId="77777777" w:rsidTr="00304A37">
        <w:tc>
          <w:tcPr>
            <w:tcW w:w="1776" w:type="pct"/>
            <w:tcBorders>
              <w:top w:val="single" w:sz="19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1AB26EAA" w14:textId="77777777" w:rsidR="00D54BB7" w:rsidRPr="00D54BB7" w:rsidRDefault="00D54BB7" w:rsidP="00304A37">
            <w:pPr>
              <w:pStyle w:val="TableParagraph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P1. Bēta blokatori</w:t>
            </w:r>
          </w:p>
        </w:tc>
        <w:tc>
          <w:tcPr>
            <w:tcW w:w="827" w:type="pct"/>
            <w:tcBorders>
              <w:top w:val="single" w:sz="19" w:space="0" w:color="000000"/>
              <w:left w:val="single" w:sz="5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A4C23E8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50</w:t>
            </w:r>
          </w:p>
        </w:tc>
        <w:tc>
          <w:tcPr>
            <w:tcW w:w="560" w:type="pct"/>
            <w:tcBorders>
              <w:top w:val="single" w:sz="19" w:space="0" w:color="000000"/>
              <w:left w:val="single" w:sz="8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660A654E" w14:textId="77777777" w:rsidR="00D54BB7" w:rsidRPr="00D54BB7" w:rsidRDefault="00D54BB7" w:rsidP="00304A37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D54BB7">
              <w:rPr>
                <w:rFonts w:ascii="Times New Roman" w:hAnsi="Times New Roman"/>
                <w:b/>
                <w:noProof/>
                <w:sz w:val="24"/>
                <w:lang w:val="en-US"/>
              </w:rPr>
              <w:t>50</w:t>
            </w:r>
          </w:p>
        </w:tc>
        <w:tc>
          <w:tcPr>
            <w:tcW w:w="1837" w:type="pct"/>
            <w:tcBorders>
              <w:top w:val="single" w:sz="19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DD3C00" w14:textId="77777777" w:rsidR="00D54BB7" w:rsidRPr="00D54BB7" w:rsidRDefault="00D54BB7" w:rsidP="00304A37">
            <w:pPr>
              <w:pStyle w:val="TableParagrap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Bēta blokatoru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 xml:space="preserve">MRL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piemēro vienīgi tajos gadījumos (sporta veidos), kuros viela ir aizliegta tikai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>sacensību laikā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[29]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. Attiecībā uz sporta veidiem, kuros bēta blokatori ir aizliegti visu laiku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[29]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, par šīm </w:t>
            </w:r>
            <w:r w:rsidRPr="00D54BB7">
              <w:rPr>
                <w:rFonts w:ascii="Times New Roman" w:hAnsi="Times New Roman"/>
                <w:noProof/>
                <w:sz w:val="24"/>
                <w:u w:val="single" w:color="000000"/>
                <w:lang w:val="en-US"/>
              </w:rPr>
              <w:t>vielām</w:t>
            </w:r>
            <w:r w:rsidRPr="00D54BB7">
              <w:rPr>
                <w:rFonts w:ascii="Times New Roman" w:hAnsi="Times New Roman"/>
                <w:noProof/>
                <w:sz w:val="24"/>
                <w:u w:val="single"/>
                <w:lang w:val="en-US"/>
              </w:rPr>
              <w:t>, kas nav sliekšņa vielas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, ziņo jebkurā to koncentrācijā, ja to klātbūtne ir apstiprināta </w:t>
            </w:r>
            <w:r w:rsidRPr="00D54BB7">
              <w:rPr>
                <w:rFonts w:ascii="Times New Roman" w:hAnsi="Times New Roman"/>
                <w:i/>
                <w:noProof/>
                <w:sz w:val="24"/>
                <w:lang w:val="en-US"/>
              </w:rPr>
              <w:t xml:space="preserve">paraugā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 xml:space="preserve">(saskaņā ar </w:t>
            </w:r>
            <w:r w:rsidRPr="00D54BB7">
              <w:rPr>
                <w:rFonts w:ascii="Times New Roman" w:hAnsi="Times New Roman"/>
                <w:i/>
                <w:iCs/>
                <w:noProof/>
                <w:sz w:val="24"/>
                <w:lang w:val="en-US"/>
              </w:rPr>
              <w:t xml:space="preserve">TD IDCR 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noteiktajiem identifikācijas kritērijiem</w:t>
            </w:r>
            <w:r w:rsidRPr="00D54BB7">
              <w:rPr>
                <w:rFonts w:ascii="Times New Roman" w:hAnsi="Times New Roman"/>
                <w:noProof/>
                <w:sz w:val="24"/>
                <w:vertAlign w:val="superscript"/>
                <w:lang w:val="en-US"/>
              </w:rPr>
              <w:t>[7]</w:t>
            </w:r>
            <w:r w:rsidRPr="00D54BB7">
              <w:rPr>
                <w:rFonts w:ascii="Times New Roman" w:hAnsi="Times New Roman"/>
                <w:noProof/>
                <w:sz w:val="24"/>
                <w:lang w:val="en-US"/>
              </w:rPr>
              <w:t>).</w:t>
            </w:r>
          </w:p>
        </w:tc>
      </w:tr>
    </w:tbl>
    <w:p w14:paraId="4BD1C901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14:paraId="4A18FDB6" w14:textId="77777777" w:rsidR="00D54BB7" w:rsidRPr="00D54BB7" w:rsidRDefault="00D54BB7" w:rsidP="00D54BB7">
      <w:pPr>
        <w:pStyle w:val="BodyText"/>
        <w:rPr>
          <w:lang w:val="en-US"/>
        </w:rPr>
      </w:pPr>
      <w:r w:rsidRPr="00D54BB7">
        <w:rPr>
          <w:lang w:val="en-US"/>
        </w:rPr>
        <w:t xml:space="preserve">N/P: </w:t>
      </w:r>
      <w:r w:rsidRPr="00D54BB7">
        <w:rPr>
          <w:i/>
          <w:lang w:val="en-US"/>
        </w:rPr>
        <w:t xml:space="preserve">MRL </w:t>
      </w:r>
      <w:r w:rsidRPr="00D54BB7">
        <w:rPr>
          <w:lang w:val="en-US"/>
        </w:rPr>
        <w:t xml:space="preserve">nepiemēro (viela, kurai nav noteikts </w:t>
      </w:r>
      <w:r w:rsidRPr="00D54BB7">
        <w:rPr>
          <w:i/>
          <w:lang w:val="en-US"/>
        </w:rPr>
        <w:t>MRL</w:t>
      </w:r>
      <w:r w:rsidRPr="00D54BB7">
        <w:rPr>
          <w:lang w:val="en-US"/>
        </w:rPr>
        <w:t>)</w:t>
      </w:r>
    </w:p>
    <w:p w14:paraId="3BC9FA7F" w14:textId="77777777" w:rsidR="00D54BB7" w:rsidRPr="00D54BB7" w:rsidRDefault="00D54BB7" w:rsidP="00D54BB7">
      <w:pPr>
        <w:pStyle w:val="BodyText"/>
        <w:rPr>
          <w:lang w:val="en-US"/>
        </w:rPr>
      </w:pPr>
    </w:p>
    <w:p w14:paraId="4E9BA9A3" w14:textId="77777777" w:rsidR="00D54BB7" w:rsidRPr="00D54BB7" w:rsidRDefault="00D54BB7" w:rsidP="00D54BB7">
      <w:pPr>
        <w:pStyle w:val="BodyText"/>
        <w:rPr>
          <w:lang w:val="en-US"/>
        </w:rPr>
      </w:pPr>
      <w:r w:rsidRPr="00D54BB7">
        <w:rPr>
          <w:vertAlign w:val="superscript"/>
          <w:lang w:val="en-US"/>
        </w:rPr>
        <w:t xml:space="preserve">(a) </w:t>
      </w:r>
      <w:r w:rsidRPr="00D54BB7">
        <w:rPr>
          <w:lang w:val="en-US"/>
        </w:rPr>
        <w:t xml:space="preserve">Ja vien 1. tabulā nav norādīts citādi, </w:t>
      </w:r>
      <w:r w:rsidRPr="00D54BB7">
        <w:rPr>
          <w:i/>
          <w:iCs/>
          <w:u w:val="single"/>
          <w:lang w:val="en-US"/>
        </w:rPr>
        <w:t>MRPL</w:t>
      </w:r>
      <w:r w:rsidRPr="00D54BB7">
        <w:rPr>
          <w:lang w:val="en-US"/>
        </w:rPr>
        <w:t>/</w:t>
      </w:r>
      <w:r w:rsidRPr="00D54BB7">
        <w:rPr>
          <w:i/>
          <w:lang w:val="en-US"/>
        </w:rPr>
        <w:t xml:space="preserve">MRL </w:t>
      </w:r>
      <w:r w:rsidRPr="00D54BB7">
        <w:rPr>
          <w:lang w:val="en-US"/>
        </w:rPr>
        <w:t xml:space="preserve">piemēro urīna </w:t>
      </w:r>
      <w:r w:rsidRPr="00D54BB7">
        <w:rPr>
          <w:i/>
          <w:lang w:val="en-US"/>
        </w:rPr>
        <w:t xml:space="preserve">paraugu </w:t>
      </w:r>
      <w:r w:rsidRPr="00D54BB7">
        <w:rPr>
          <w:lang w:val="en-US"/>
        </w:rPr>
        <w:t>analīzei.</w:t>
      </w:r>
    </w:p>
    <w:p w14:paraId="44C7A157" w14:textId="77777777" w:rsidR="00D54BB7" w:rsidRPr="00D54BB7" w:rsidRDefault="00D54BB7" w:rsidP="00D54BB7">
      <w:pPr>
        <w:pStyle w:val="BodyText"/>
        <w:rPr>
          <w:lang w:val="en-US"/>
        </w:rPr>
      </w:pPr>
    </w:p>
    <w:p w14:paraId="39855941" w14:textId="77777777" w:rsidR="00D54BB7" w:rsidRPr="00D54BB7" w:rsidRDefault="00D54BB7" w:rsidP="00D54BB7">
      <w:pPr>
        <w:pStyle w:val="BodyText"/>
        <w:rPr>
          <w:lang w:val="en-US"/>
        </w:rPr>
      </w:pPr>
      <w:r w:rsidRPr="00D54BB7">
        <w:rPr>
          <w:vertAlign w:val="superscript"/>
          <w:lang w:val="en-US"/>
        </w:rPr>
        <w:t xml:space="preserve">(b) </w:t>
      </w:r>
      <w:r w:rsidRPr="00D54BB7">
        <w:rPr>
          <w:lang w:val="en-US"/>
        </w:rPr>
        <w:t xml:space="preserve">Ja vien 1. tabulā nav norādīts citādi, </w:t>
      </w:r>
      <w:r w:rsidRPr="00D54BB7">
        <w:rPr>
          <w:i/>
          <w:iCs/>
          <w:u w:val="single"/>
          <w:lang w:val="en-US"/>
        </w:rPr>
        <w:t xml:space="preserve">MRPL </w:t>
      </w:r>
      <w:r w:rsidRPr="00D54BB7">
        <w:rPr>
          <w:lang w:val="en-US"/>
        </w:rPr>
        <w:t xml:space="preserve">piemēro </w:t>
      </w:r>
      <w:r w:rsidRPr="00D54BB7">
        <w:rPr>
          <w:u w:val="single"/>
          <w:lang w:val="en-US"/>
        </w:rPr>
        <w:t>vielu, kas nav sliekšņa vielas</w:t>
      </w:r>
      <w:r w:rsidRPr="00D54BB7">
        <w:rPr>
          <w:lang w:val="en-US"/>
        </w:rPr>
        <w:t xml:space="preserve">, attiecīgajam(-iem) mērķa </w:t>
      </w:r>
      <w:r w:rsidRPr="00D54BB7">
        <w:rPr>
          <w:u w:val="single"/>
          <w:lang w:val="en-US"/>
        </w:rPr>
        <w:t xml:space="preserve">analītam(-iem) </w:t>
      </w:r>
      <w:r w:rsidRPr="00D54BB7">
        <w:rPr>
          <w:lang w:val="en-US"/>
        </w:rPr>
        <w:t xml:space="preserve">(t. i., sākumsavienojumam un/vai attiecīgajam(-iem) </w:t>
      </w:r>
      <w:r w:rsidRPr="00D54BB7">
        <w:rPr>
          <w:i/>
          <w:iCs/>
          <w:lang w:val="en-US"/>
        </w:rPr>
        <w:t xml:space="preserve">metabolītam(-iem) </w:t>
      </w:r>
      <w:r w:rsidRPr="00D54BB7">
        <w:rPr>
          <w:lang w:val="en-US"/>
        </w:rPr>
        <w:t xml:space="preserve">un/vai </w:t>
      </w:r>
      <w:r w:rsidRPr="00D54BB7">
        <w:rPr>
          <w:i/>
          <w:lang w:val="en-US"/>
        </w:rPr>
        <w:t>marķierim(-iem)</w:t>
      </w:r>
      <w:r w:rsidRPr="00D54BB7">
        <w:rPr>
          <w:lang w:val="en-US"/>
        </w:rPr>
        <w:t xml:space="preserve">, un/vai noārdīšanās produktam(-iem) attiecīgā gadījumā), kuram(-iem) ir pieejams </w:t>
      </w:r>
      <w:r w:rsidRPr="00D54BB7">
        <w:rPr>
          <w:u w:val="single"/>
          <w:lang w:val="en-US"/>
        </w:rPr>
        <w:t xml:space="preserve">atsauces materiāls </w:t>
      </w:r>
      <w:r w:rsidRPr="00D54BB7">
        <w:rPr>
          <w:lang w:val="en-US"/>
        </w:rPr>
        <w:t xml:space="preserve">(piemēram, </w:t>
      </w:r>
      <w:r w:rsidRPr="00D54BB7">
        <w:rPr>
          <w:i/>
          <w:iCs/>
          <w:u w:val="single"/>
          <w:lang w:val="en-US"/>
        </w:rPr>
        <w:t xml:space="preserve">MRPL </w:t>
      </w:r>
      <w:r w:rsidRPr="00D54BB7">
        <w:rPr>
          <w:lang w:val="en-US"/>
        </w:rPr>
        <w:t xml:space="preserve">visiem attiecīgajiem AAS mērķa </w:t>
      </w:r>
      <w:r w:rsidRPr="00D54BB7">
        <w:rPr>
          <w:u w:val="single"/>
          <w:lang w:val="en-US"/>
        </w:rPr>
        <w:t xml:space="preserve">analītiem </w:t>
      </w:r>
      <w:r w:rsidRPr="00D54BB7">
        <w:rPr>
          <w:lang w:val="en-US"/>
        </w:rPr>
        <w:t xml:space="preserve">ir 2,5 ng/ml, izņemot tos AAS un/vai to </w:t>
      </w:r>
      <w:r w:rsidRPr="00D54BB7">
        <w:rPr>
          <w:i/>
          <w:iCs/>
          <w:lang w:val="en-US"/>
        </w:rPr>
        <w:t>metabolītu(-us)</w:t>
      </w:r>
      <w:r w:rsidRPr="00D54BB7">
        <w:rPr>
          <w:lang w:val="en-US"/>
        </w:rPr>
        <w:t xml:space="preserve">, kas uzskaitīti 1. tabulā). </w:t>
      </w:r>
      <w:r w:rsidRPr="00D54BB7">
        <w:rPr>
          <w:i/>
          <w:iCs/>
          <w:u w:val="single"/>
          <w:lang w:val="en-US"/>
        </w:rPr>
        <w:t xml:space="preserve">MRPL </w:t>
      </w:r>
      <w:r w:rsidRPr="00D54BB7">
        <w:rPr>
          <w:lang w:val="en-US"/>
        </w:rPr>
        <w:t xml:space="preserve">ne vienmēr piemēro visiem iespējamajiem konkrētas </w:t>
      </w:r>
      <w:r w:rsidRPr="00D54BB7">
        <w:rPr>
          <w:i/>
          <w:lang w:val="en-US"/>
        </w:rPr>
        <w:t xml:space="preserve">aizliegtās vielas </w:t>
      </w:r>
      <w:r w:rsidRPr="00D54BB7">
        <w:rPr>
          <w:u w:val="single"/>
          <w:lang w:val="en-US"/>
        </w:rPr>
        <w:t>analītiem</w:t>
      </w:r>
      <w:r w:rsidRPr="00D54BB7">
        <w:rPr>
          <w:lang w:val="en-US"/>
        </w:rPr>
        <w:t>, bet tikai tiem, kas ir atzīti par būtiskiem, lai nodrošinātu, ka tiek optimāli noteikta vielas ļaunprātīga lietošana pagātnē.</w:t>
      </w:r>
    </w:p>
    <w:p w14:paraId="4BBDD380" w14:textId="77777777" w:rsidR="00D54BB7" w:rsidRPr="00D54BB7" w:rsidRDefault="00D54BB7" w:rsidP="00D54BB7">
      <w:pPr>
        <w:pStyle w:val="BodyText"/>
        <w:rPr>
          <w:lang w:val="en-US"/>
        </w:rPr>
      </w:pPr>
    </w:p>
    <w:p w14:paraId="4C67BAE1" w14:textId="77777777" w:rsidR="00D54BB7" w:rsidRPr="00D54BB7" w:rsidRDefault="00D54BB7" w:rsidP="00D54BB7">
      <w:pPr>
        <w:pStyle w:val="BodyText"/>
        <w:rPr>
          <w:lang w:val="en-US"/>
        </w:rPr>
      </w:pPr>
      <w:r w:rsidRPr="00D54BB7">
        <w:rPr>
          <w:vertAlign w:val="superscript"/>
          <w:lang w:val="en-US"/>
        </w:rPr>
        <w:t xml:space="preserve">(c) </w:t>
      </w:r>
      <w:r w:rsidRPr="00D54BB7">
        <w:rPr>
          <w:lang w:val="en-US"/>
        </w:rPr>
        <w:t xml:space="preserve">Ja vien 1. tabulā nav noteikts citādi, </w:t>
      </w:r>
      <w:r w:rsidRPr="00D54BB7">
        <w:rPr>
          <w:u w:val="single"/>
          <w:lang w:val="en-US"/>
        </w:rPr>
        <w:t>vielu, kas nav sliekšņa vielas</w:t>
      </w:r>
      <w:r w:rsidRPr="00D54BB7">
        <w:rPr>
          <w:lang w:val="en-US"/>
        </w:rPr>
        <w:t xml:space="preserve">, </w:t>
      </w:r>
      <w:r w:rsidRPr="00D54BB7">
        <w:rPr>
          <w:i/>
          <w:iCs/>
          <w:lang w:val="en-US"/>
        </w:rPr>
        <w:t xml:space="preserve">MRL </w:t>
      </w:r>
      <w:r w:rsidRPr="00D54BB7">
        <w:rPr>
          <w:lang w:val="en-US"/>
        </w:rPr>
        <w:t xml:space="preserve">piemēro vai nu sākumsavienojumam, vai konkrētam </w:t>
      </w:r>
      <w:r w:rsidRPr="00D54BB7">
        <w:rPr>
          <w:i/>
          <w:iCs/>
          <w:lang w:val="en-US"/>
        </w:rPr>
        <w:t xml:space="preserve">metabolītam </w:t>
      </w:r>
      <w:r w:rsidRPr="00D54BB7">
        <w:rPr>
          <w:lang w:val="en-US"/>
        </w:rPr>
        <w:t>atkarībā no vielas metabolisma un izdalīšanās veida.</w:t>
      </w:r>
    </w:p>
    <w:p w14:paraId="42791A5C" w14:textId="77777777" w:rsidR="00D54BB7" w:rsidRPr="00D54BB7" w:rsidRDefault="00D54BB7" w:rsidP="00D54BB7">
      <w:pPr>
        <w:pStyle w:val="BodyText"/>
        <w:rPr>
          <w:lang w:val="en-US"/>
        </w:rPr>
      </w:pPr>
      <w:r w:rsidRPr="00D54BB7">
        <w:rPr>
          <w:lang w:val="en-US"/>
        </w:rPr>
        <w:lastRenderedPageBreak/>
        <w:t xml:space="preserve">Minētos </w:t>
      </w:r>
      <w:r w:rsidRPr="00D54BB7">
        <w:rPr>
          <w:i/>
          <w:iCs/>
          <w:lang w:val="en-US"/>
        </w:rPr>
        <w:t xml:space="preserve">MRL </w:t>
      </w:r>
      <w:r w:rsidRPr="00D54BB7">
        <w:rPr>
          <w:lang w:val="en-US"/>
        </w:rPr>
        <w:t xml:space="preserve">nepiemēro dažādu molekulāro veidu kopējai koncentrācijai [piemēram, sākumsavienojumam un I fāzes </w:t>
      </w:r>
      <w:r w:rsidRPr="00D54BB7">
        <w:rPr>
          <w:i/>
          <w:lang w:val="en-US"/>
        </w:rPr>
        <w:t xml:space="preserve">metabolītam(-iem) </w:t>
      </w:r>
      <w:r w:rsidRPr="00D54BB7">
        <w:rPr>
          <w:lang w:val="en-US"/>
        </w:rPr>
        <w:t xml:space="preserve">vai citam(-iem) I fāzes </w:t>
      </w:r>
      <w:r w:rsidRPr="00D54BB7">
        <w:rPr>
          <w:i/>
          <w:lang w:val="en-US"/>
        </w:rPr>
        <w:t>metabolītam(-iem)</w:t>
      </w:r>
      <w:r w:rsidRPr="00D54BB7">
        <w:rPr>
          <w:lang w:val="en-US"/>
        </w:rPr>
        <w:t>].</w:t>
      </w:r>
    </w:p>
    <w:p w14:paraId="3AF52658" w14:textId="77777777" w:rsidR="00D54BB7" w:rsidRPr="00D54BB7" w:rsidRDefault="00D54BB7" w:rsidP="00D54BB7">
      <w:pPr>
        <w:pStyle w:val="BodyText"/>
        <w:rPr>
          <w:lang w:val="en-US"/>
        </w:rPr>
      </w:pPr>
      <w:r w:rsidRPr="00D54BB7">
        <w:rPr>
          <w:lang w:val="en-US"/>
        </w:rPr>
        <w:t xml:space="preserve">Tomēr, ja izmantotā </w:t>
      </w:r>
      <w:r w:rsidRPr="00D54BB7">
        <w:rPr>
          <w:u w:val="single"/>
          <w:lang w:val="en-US"/>
        </w:rPr>
        <w:t xml:space="preserve">analītiskā metode </w:t>
      </w:r>
      <w:r w:rsidRPr="00D54BB7">
        <w:rPr>
          <w:lang w:val="en-US"/>
        </w:rPr>
        <w:t xml:space="preserve">ietver arī specifiskās mērķa vielas II fāzes </w:t>
      </w:r>
      <w:r w:rsidRPr="00D54BB7">
        <w:rPr>
          <w:i/>
          <w:lang w:val="en-US"/>
        </w:rPr>
        <w:t xml:space="preserve">metabolītu </w:t>
      </w:r>
      <w:r w:rsidRPr="00D54BB7">
        <w:rPr>
          <w:lang w:val="en-US"/>
        </w:rPr>
        <w:t xml:space="preserve">(piemēram, glikuronīdu, sulfātu) noteikšanu, </w:t>
      </w:r>
      <w:r w:rsidRPr="00D54BB7">
        <w:rPr>
          <w:i/>
          <w:lang w:val="en-US"/>
        </w:rPr>
        <w:t xml:space="preserve">MRL </w:t>
      </w:r>
      <w:r w:rsidRPr="00D54BB7">
        <w:rPr>
          <w:lang w:val="en-US"/>
        </w:rPr>
        <w:t xml:space="preserve">piemēro vielas kopējai koncentrācijai (t. i., brīvajām un konjugētajām daļām). To iegūst, vai nu atsevišķi nosakot molekulāros veidus (piemēram, veicot </w:t>
      </w:r>
      <w:r w:rsidRPr="00D54BB7">
        <w:rPr>
          <w:i/>
          <w:lang w:val="en-US"/>
        </w:rPr>
        <w:t xml:space="preserve">LC-MS </w:t>
      </w:r>
      <w:r w:rsidRPr="00D54BB7">
        <w:rPr>
          <w:lang w:val="en-US"/>
        </w:rPr>
        <w:t xml:space="preserve">analīzi), vai pēc II fāzes </w:t>
      </w:r>
      <w:r w:rsidRPr="00D54BB7">
        <w:rPr>
          <w:i/>
          <w:lang w:val="en-US"/>
        </w:rPr>
        <w:t xml:space="preserve">metabolīta(-u) </w:t>
      </w:r>
      <w:r w:rsidRPr="00D54BB7">
        <w:rPr>
          <w:lang w:val="en-US"/>
        </w:rPr>
        <w:t xml:space="preserve">(piemēram, lai veiktu </w:t>
      </w:r>
      <w:r w:rsidRPr="00D54BB7">
        <w:rPr>
          <w:i/>
          <w:lang w:val="en-US"/>
        </w:rPr>
        <w:t xml:space="preserve">GC-MS </w:t>
      </w:r>
      <w:r w:rsidRPr="00D54BB7">
        <w:rPr>
          <w:lang w:val="en-US"/>
        </w:rPr>
        <w:t>analīzi) hidrolīzes, un izsaka kā ekvivalentu sākumsavienojuma koncentrāciju.</w:t>
      </w:r>
    </w:p>
    <w:p w14:paraId="69CCDF86" w14:textId="77777777" w:rsidR="00D54BB7" w:rsidRPr="00D54BB7" w:rsidRDefault="00D54BB7" w:rsidP="00D54BB7">
      <w:pPr>
        <w:pStyle w:val="BodyText"/>
        <w:rPr>
          <w:lang w:val="en-US"/>
        </w:rPr>
      </w:pPr>
    </w:p>
    <w:p w14:paraId="73A8048C" w14:textId="77777777" w:rsidR="00D54BB7" w:rsidRPr="00D54BB7" w:rsidRDefault="00D54BB7" w:rsidP="00D54BB7">
      <w:pPr>
        <w:pStyle w:val="BodyText"/>
        <w:rPr>
          <w:lang w:val="en-US"/>
        </w:rPr>
      </w:pPr>
      <w:r w:rsidRPr="00D54BB7">
        <w:rPr>
          <w:vertAlign w:val="superscript"/>
          <w:lang w:val="en-US"/>
        </w:rPr>
        <w:t xml:space="preserve">(d) </w:t>
      </w:r>
      <w:r w:rsidRPr="00D54BB7">
        <w:rPr>
          <w:lang w:val="en-US"/>
        </w:rPr>
        <w:t xml:space="preserve">Šis </w:t>
      </w:r>
      <w:r w:rsidRPr="00D54BB7">
        <w:rPr>
          <w:i/>
          <w:lang w:val="en-US"/>
        </w:rPr>
        <w:t xml:space="preserve">MRL </w:t>
      </w:r>
      <w:r w:rsidRPr="00D54BB7">
        <w:rPr>
          <w:lang w:val="en-US"/>
        </w:rPr>
        <w:t xml:space="preserve">atbilst koncentrācijai, kuru pārsniedzot, par atradi paziņo kā par </w:t>
      </w:r>
      <w:r w:rsidRPr="00D54BB7">
        <w:rPr>
          <w:i/>
          <w:lang w:val="en-US"/>
        </w:rPr>
        <w:t>AAF</w:t>
      </w:r>
      <w:r w:rsidRPr="00D54BB7">
        <w:rPr>
          <w:lang w:val="en-US"/>
        </w:rPr>
        <w:t xml:space="preserve">, neparedzot vajadzību pēc </w:t>
      </w:r>
      <w:r w:rsidRPr="00D54BB7">
        <w:rPr>
          <w:i/>
          <w:iCs/>
          <w:lang w:val="en-US"/>
        </w:rPr>
        <w:t>GC</w:t>
      </w:r>
      <w:r w:rsidRPr="00D54BB7">
        <w:rPr>
          <w:lang w:val="en-US"/>
        </w:rPr>
        <w:t>/</w:t>
      </w:r>
      <w:r w:rsidRPr="00D54BB7">
        <w:rPr>
          <w:i/>
          <w:iCs/>
          <w:lang w:val="en-US"/>
        </w:rPr>
        <w:t>C</w:t>
      </w:r>
      <w:r w:rsidRPr="00D54BB7">
        <w:rPr>
          <w:lang w:val="en-US"/>
        </w:rPr>
        <w:t>/</w:t>
      </w:r>
      <w:r w:rsidRPr="00D54BB7">
        <w:rPr>
          <w:i/>
          <w:iCs/>
          <w:lang w:val="en-US"/>
        </w:rPr>
        <w:t xml:space="preserve">IRMS </w:t>
      </w:r>
      <w:r w:rsidRPr="00D54BB7">
        <w:rPr>
          <w:lang w:val="en-US"/>
        </w:rPr>
        <w:t>analīzes.</w:t>
      </w:r>
    </w:p>
    <w:p w14:paraId="0FC36C25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14:paraId="57186F87" w14:textId="77777777" w:rsidR="00D54BB7" w:rsidRPr="00D54BB7" w:rsidRDefault="00D54BB7" w:rsidP="00D54BB7">
      <w:pPr>
        <w:pStyle w:val="Heading1"/>
        <w:ind w:left="0" w:firstLine="0"/>
        <w:jc w:val="both"/>
        <w:rPr>
          <w:rFonts w:ascii="Times New Roman" w:hAnsi="Times New Roman"/>
          <w:noProof/>
          <w:u w:val="none"/>
          <w:lang w:val="en-US"/>
        </w:rPr>
      </w:pPr>
      <w:r w:rsidRPr="00D54BB7">
        <w:rPr>
          <w:rFonts w:ascii="Times New Roman" w:hAnsi="Times New Roman"/>
          <w:noProof/>
          <w:u w:val="none"/>
          <w:lang w:val="en-US"/>
        </w:rPr>
        <w:t>6.0. Atsauces</w:t>
      </w:r>
    </w:p>
    <w:p w14:paraId="5F7B6EB3" w14:textId="77777777" w:rsidR="00D54BB7" w:rsidRPr="00D54BB7" w:rsidRDefault="00D54BB7" w:rsidP="00D54BB7">
      <w:pPr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1D52AF02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[1]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Technical Document 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TD DL: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Decision Limits 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for the Confirmatory Quantification of Exogenous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 xml:space="preserve">Threshold Substances 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by Chromatography-based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Analytical Methods</w:t>
      </w:r>
      <w:r w:rsidRPr="00D54BB7">
        <w:rPr>
          <w:rFonts w:ascii="Times New Roman" w:hAnsi="Times New Roman"/>
          <w:noProof/>
          <w:sz w:val="24"/>
          <w:lang w:val="en-US"/>
        </w:rPr>
        <w:t>.</w:t>
      </w:r>
    </w:p>
    <w:p w14:paraId="08109B60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[2]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Technical Document </w:t>
      </w:r>
      <w:r w:rsidRPr="00D54BB7">
        <w:rPr>
          <w:rFonts w:ascii="Times New Roman" w:hAnsi="Times New Roman"/>
          <w:noProof/>
          <w:sz w:val="24"/>
          <w:lang w:val="en-US"/>
        </w:rPr>
        <w:t>TD GH: human Growth Hormone (hGH) Isoform Differential Immunoassays for</w:t>
      </w:r>
    </w:p>
    <w:p w14:paraId="00255578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Doping Control </w:t>
      </w:r>
      <w:r w:rsidRPr="00D54BB7">
        <w:rPr>
          <w:rFonts w:ascii="Times New Roman" w:hAnsi="Times New Roman"/>
          <w:noProof/>
          <w:sz w:val="24"/>
          <w:lang w:val="en-US"/>
        </w:rPr>
        <w:t>Analyses.</w:t>
      </w:r>
    </w:p>
    <w:p w14:paraId="334C9AC9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[3]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Technical Document 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TD CG/LH: Reporting and Management of Urinary Human Chorionic Gonadotrophin (hCG) and Luteinizing Hormone (LH) Findings in Male </w:t>
      </w:r>
      <w:r w:rsidRPr="00D54BB7">
        <w:rPr>
          <w:rFonts w:ascii="Times New Roman" w:hAnsi="Times New Roman"/>
          <w:i/>
          <w:noProof/>
          <w:sz w:val="24"/>
          <w:lang w:val="en-US"/>
        </w:rPr>
        <w:t>Athletes</w:t>
      </w:r>
      <w:r w:rsidRPr="00D54BB7">
        <w:rPr>
          <w:rFonts w:ascii="Times New Roman" w:hAnsi="Times New Roman"/>
          <w:noProof/>
          <w:sz w:val="24"/>
          <w:lang w:val="en-US"/>
        </w:rPr>
        <w:t>.</w:t>
      </w:r>
    </w:p>
    <w:p w14:paraId="1CDAE1B9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[4]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Technical Document 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TD IRMS: Detection of Synthetic Forms of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Prohibited Substances </w:t>
      </w:r>
      <w:r w:rsidRPr="00D54BB7">
        <w:rPr>
          <w:rFonts w:ascii="Times New Roman" w:hAnsi="Times New Roman"/>
          <w:noProof/>
          <w:sz w:val="24"/>
          <w:lang w:val="en-US"/>
        </w:rPr>
        <w:t>by GC/C/IRMS.</w:t>
      </w:r>
    </w:p>
    <w:p w14:paraId="141229C3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[5]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Technical Document </w:t>
      </w:r>
      <w:r w:rsidRPr="00D54BB7">
        <w:rPr>
          <w:rFonts w:ascii="Times New Roman" w:hAnsi="Times New Roman"/>
          <w:noProof/>
          <w:sz w:val="24"/>
          <w:lang w:val="en-US"/>
        </w:rPr>
        <w:t>TD NA: Harmonization of Analysis and Reporting of 19-Norsteroids Related to Nandrolone</w:t>
      </w:r>
    </w:p>
    <w:p w14:paraId="17D8D01F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[6]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Technical Letter</w:t>
      </w:r>
      <w:r w:rsidRPr="00D54BB7">
        <w:rPr>
          <w:rFonts w:ascii="Times New Roman" w:hAnsi="Times New Roman"/>
          <w:noProof/>
          <w:sz w:val="24"/>
          <w:lang w:val="en-US"/>
        </w:rPr>
        <w:t>-23: Minimum Reporting Level for Certain Substances Known to be Potential Meat Contaminants.</w:t>
      </w:r>
    </w:p>
    <w:p w14:paraId="73B4E42A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[7]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Technical Document 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TD IDCR: Minimum Criteria for Chromatographic-Mass Spectrometric Confirmation of the Identity of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 xml:space="preserve">Analytes 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for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Doping Control </w:t>
      </w:r>
      <w:r w:rsidRPr="00D54BB7">
        <w:rPr>
          <w:rFonts w:ascii="Times New Roman" w:hAnsi="Times New Roman"/>
          <w:noProof/>
          <w:sz w:val="24"/>
          <w:lang w:val="en-US"/>
        </w:rPr>
        <w:t>Purposes.</w:t>
      </w:r>
    </w:p>
    <w:p w14:paraId="7DA21438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[8]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Technical 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Document TD EAAS: Measurement and Reporting of Endogenous Anabolic Androgenic Steroid (EAAS)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Markers </w:t>
      </w:r>
      <w:r w:rsidRPr="00D54BB7">
        <w:rPr>
          <w:rFonts w:ascii="Times New Roman" w:hAnsi="Times New Roman"/>
          <w:noProof/>
          <w:sz w:val="24"/>
          <w:lang w:val="en-US"/>
        </w:rPr>
        <w:t>of the Urinary Steroid Profile.</w:t>
      </w:r>
    </w:p>
    <w:p w14:paraId="4DEE9703" w14:textId="77777777" w:rsidR="00D54BB7" w:rsidRPr="00D54BB7" w:rsidRDefault="00D54BB7" w:rsidP="00D54BB7">
      <w:pPr>
        <w:jc w:val="both"/>
        <w:rPr>
          <w:rFonts w:ascii="Times New Roman" w:hAnsi="Times New Roman"/>
          <w:noProof/>
          <w:sz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[9]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Technical Letter</w:t>
      </w:r>
      <w:r w:rsidRPr="00D54BB7">
        <w:rPr>
          <w:rFonts w:ascii="Times New Roman" w:hAnsi="Times New Roman"/>
          <w:noProof/>
          <w:sz w:val="24"/>
          <w:lang w:val="en-US"/>
        </w:rPr>
        <w:t>-08. Use of Internal Standards.</w:t>
      </w:r>
    </w:p>
    <w:p w14:paraId="552432DE" w14:textId="77777777" w:rsidR="00D54BB7" w:rsidRPr="00D54BB7" w:rsidRDefault="00D54BB7" w:rsidP="00D54BB7">
      <w:pPr>
        <w:jc w:val="both"/>
        <w:rPr>
          <w:rFonts w:ascii="Times New Roman" w:hAnsi="Times New Roman"/>
          <w:noProof/>
          <w:sz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[10]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Technical Letter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-10.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In situ 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Formation of Exogenous Compounds in Urine </w:t>
      </w:r>
      <w:r w:rsidRPr="00D54BB7">
        <w:rPr>
          <w:rFonts w:ascii="Times New Roman" w:hAnsi="Times New Roman"/>
          <w:i/>
          <w:noProof/>
          <w:sz w:val="24"/>
          <w:lang w:val="en-US"/>
        </w:rPr>
        <w:t>Samples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. [11]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Technical Letter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-20.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In situ 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Formation of Specific Substances with a Steroid Structure. [12]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Technical Letter</w:t>
      </w:r>
      <w:r w:rsidRPr="00D54BB7">
        <w:rPr>
          <w:rFonts w:ascii="Times New Roman" w:hAnsi="Times New Roman"/>
          <w:noProof/>
          <w:sz w:val="24"/>
          <w:lang w:val="en-US"/>
        </w:rPr>
        <w:t>-07. Andarine-Flutamide.</w:t>
      </w:r>
    </w:p>
    <w:p w14:paraId="68C05440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[13]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Technical Letter</w:t>
      </w:r>
      <w:r w:rsidRPr="00D54BB7">
        <w:rPr>
          <w:rFonts w:ascii="Times New Roman" w:hAnsi="Times New Roman"/>
          <w:noProof/>
          <w:sz w:val="24"/>
          <w:lang w:val="en-US"/>
        </w:rPr>
        <w:t>-12: Enobosarm (Ostarine).</w:t>
      </w:r>
    </w:p>
    <w:p w14:paraId="356D00C7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[14]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Technical Letter</w:t>
      </w:r>
      <w:r w:rsidRPr="00D54BB7">
        <w:rPr>
          <w:rFonts w:ascii="Times New Roman" w:hAnsi="Times New Roman"/>
          <w:noProof/>
          <w:sz w:val="24"/>
          <w:lang w:val="en-US"/>
        </w:rPr>
        <w:t>-04: Analysis and Reporting of Zeranol.</w:t>
      </w:r>
    </w:p>
    <w:p w14:paraId="31C3B0DB" w14:textId="77777777" w:rsidR="00D54BB7" w:rsidRPr="00D54BB7" w:rsidRDefault="00D54BB7" w:rsidP="00D54BB7">
      <w:pPr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[15]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Technical Letter</w:t>
      </w:r>
      <w:r w:rsidRPr="00D54BB7">
        <w:rPr>
          <w:rFonts w:ascii="Times New Roman" w:hAnsi="Times New Roman"/>
          <w:noProof/>
          <w:sz w:val="24"/>
          <w:lang w:val="en-US"/>
        </w:rPr>
        <w:t>-17: Detection of Tulobuterol in the Presence of Bupropion.</w:t>
      </w:r>
    </w:p>
    <w:p w14:paraId="3B647DE0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[16]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Technical Letter</w:t>
      </w:r>
      <w:r w:rsidRPr="00D54BB7">
        <w:rPr>
          <w:rFonts w:ascii="Times New Roman" w:hAnsi="Times New Roman"/>
          <w:noProof/>
          <w:sz w:val="24"/>
          <w:lang w:val="en-US"/>
        </w:rPr>
        <w:t>-16: Tetroquinol.</w:t>
      </w:r>
    </w:p>
    <w:p w14:paraId="193DDCAF" w14:textId="77777777" w:rsidR="00D54BB7" w:rsidRPr="00D54BB7" w:rsidRDefault="00D54BB7" w:rsidP="00D54BB7">
      <w:pPr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[17]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Technical Letter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-21: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In situ 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Formation of 4-androstene-3,6,17-trione (6-oxo) and </w:t>
      </w:r>
      <w:r w:rsidRPr="00D54BB7">
        <w:rPr>
          <w:rFonts w:ascii="Times New Roman" w:hAnsi="Times New Roman"/>
          <w:i/>
          <w:noProof/>
          <w:sz w:val="24"/>
          <w:lang w:val="en-US"/>
        </w:rPr>
        <w:t>Metabolites</w:t>
      </w:r>
      <w:r w:rsidRPr="00D54BB7">
        <w:rPr>
          <w:rFonts w:ascii="Times New Roman" w:hAnsi="Times New Roman"/>
          <w:noProof/>
          <w:sz w:val="24"/>
          <w:lang w:val="en-US"/>
        </w:rPr>
        <w:t>.</w:t>
      </w:r>
    </w:p>
    <w:p w14:paraId="7547E509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[18]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Technical Letter</w:t>
      </w:r>
      <w:r w:rsidRPr="00D54BB7">
        <w:rPr>
          <w:rFonts w:ascii="Times New Roman" w:hAnsi="Times New Roman"/>
          <w:noProof/>
          <w:sz w:val="24"/>
          <w:lang w:val="en-US"/>
        </w:rPr>
        <w:t xml:space="preserve">-18: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In situ </w:t>
      </w:r>
      <w:r w:rsidRPr="00D54BB7">
        <w:rPr>
          <w:rFonts w:ascii="Times New Roman" w:hAnsi="Times New Roman"/>
          <w:noProof/>
          <w:sz w:val="24"/>
          <w:lang w:val="en-US"/>
        </w:rPr>
        <w:t>Formation of Testolactone.</w:t>
      </w:r>
    </w:p>
    <w:p w14:paraId="622A84B3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[19]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Technical Letter</w:t>
      </w:r>
      <w:r w:rsidRPr="00D54BB7">
        <w:rPr>
          <w:rFonts w:ascii="Times New Roman" w:hAnsi="Times New Roman"/>
          <w:noProof/>
          <w:sz w:val="24"/>
          <w:lang w:val="en-US"/>
        </w:rPr>
        <w:t>-13: Trimetazidine</w:t>
      </w:r>
    </w:p>
    <w:p w14:paraId="1431BFBD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[20]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Technical Letter</w:t>
      </w:r>
      <w:r w:rsidRPr="00D54BB7">
        <w:rPr>
          <w:rFonts w:ascii="Times New Roman" w:hAnsi="Times New Roman"/>
          <w:noProof/>
          <w:sz w:val="24"/>
          <w:lang w:val="en-US"/>
        </w:rPr>
        <w:t>-06: Possible Metabolization of Proguanil to Chlorazanil.</w:t>
      </w:r>
    </w:p>
    <w:p w14:paraId="5395810A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[21]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Technical Letter</w:t>
      </w:r>
      <w:r w:rsidRPr="00D54BB7">
        <w:rPr>
          <w:rFonts w:ascii="Times New Roman" w:hAnsi="Times New Roman"/>
          <w:noProof/>
          <w:sz w:val="24"/>
          <w:lang w:val="en-US"/>
        </w:rPr>
        <w:t>-24: Minimum Reporting Level for Certain Diuretics that are Known Contaminants of Pharmaceutical Products.</w:t>
      </w:r>
    </w:p>
    <w:p w14:paraId="29842C22" w14:textId="77777777" w:rsidR="00D54BB7" w:rsidRPr="00D54BB7" w:rsidRDefault="00D54BB7" w:rsidP="00D54BB7">
      <w:pPr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[22]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Technical Letter</w:t>
      </w:r>
      <w:r w:rsidRPr="00D54BB7">
        <w:rPr>
          <w:rFonts w:ascii="Times New Roman" w:hAnsi="Times New Roman"/>
          <w:noProof/>
          <w:sz w:val="24"/>
          <w:lang w:val="en-US"/>
        </w:rPr>
        <w:t>-09: Oxethazaine.</w:t>
      </w:r>
    </w:p>
    <w:p w14:paraId="4E9DE37A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[23]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Technical Letter</w:t>
      </w:r>
      <w:r w:rsidRPr="00D54BB7">
        <w:rPr>
          <w:rFonts w:ascii="Times New Roman" w:hAnsi="Times New Roman"/>
          <w:noProof/>
          <w:sz w:val="24"/>
          <w:lang w:val="en-US"/>
        </w:rPr>
        <w:t>-01: Meclofenoxate.</w:t>
      </w:r>
    </w:p>
    <w:p w14:paraId="1A2C91F8" w14:textId="77777777" w:rsidR="00D54BB7" w:rsidRPr="00D54BB7" w:rsidRDefault="00D54BB7" w:rsidP="00D54BB7">
      <w:pPr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[24]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Technical Letter</w:t>
      </w:r>
      <w:r w:rsidRPr="00D54BB7">
        <w:rPr>
          <w:rFonts w:ascii="Times New Roman" w:hAnsi="Times New Roman"/>
          <w:noProof/>
          <w:sz w:val="24"/>
          <w:lang w:val="en-US"/>
        </w:rPr>
        <w:t>-02: Mebeverine Metabolism.</w:t>
      </w:r>
    </w:p>
    <w:p w14:paraId="3AE897FB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[25]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Technical Letter</w:t>
      </w:r>
      <w:r w:rsidRPr="00D54BB7">
        <w:rPr>
          <w:rFonts w:ascii="Times New Roman" w:hAnsi="Times New Roman"/>
          <w:noProof/>
          <w:sz w:val="24"/>
          <w:lang w:val="en-US"/>
        </w:rPr>
        <w:t>-05: Oxilofrine.</w:t>
      </w:r>
    </w:p>
    <w:p w14:paraId="081B5D91" w14:textId="77777777" w:rsidR="00D54BB7" w:rsidRPr="00D54BB7" w:rsidRDefault="00D54BB7" w:rsidP="00D54BB7">
      <w:pPr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lastRenderedPageBreak/>
        <w:t xml:space="preserve">[26]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Technical Letter</w:t>
      </w:r>
      <w:r w:rsidRPr="00D54BB7">
        <w:rPr>
          <w:rFonts w:ascii="Times New Roman" w:hAnsi="Times New Roman"/>
          <w:noProof/>
          <w:sz w:val="24"/>
          <w:lang w:val="en-US"/>
        </w:rPr>
        <w:t>-15: Hydromorphone.</w:t>
      </w:r>
    </w:p>
    <w:p w14:paraId="1CE12DF0" w14:textId="77777777" w:rsidR="00D54BB7" w:rsidRPr="00D54BB7" w:rsidRDefault="00D54BB7" w:rsidP="00D54BB7">
      <w:pPr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[27]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Technical Letter</w:t>
      </w:r>
      <w:r w:rsidRPr="00D54BB7">
        <w:rPr>
          <w:rFonts w:ascii="Times New Roman" w:hAnsi="Times New Roman"/>
          <w:noProof/>
          <w:sz w:val="24"/>
          <w:lang w:val="en-US"/>
        </w:rPr>
        <w:t>-22: Ethylmorphine.</w:t>
      </w:r>
    </w:p>
    <w:p w14:paraId="05AC14C0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[28] </w:t>
      </w:r>
      <w:r w:rsidRPr="00D54BB7">
        <w:rPr>
          <w:rFonts w:ascii="Times New Roman" w:hAnsi="Times New Roman"/>
          <w:i/>
          <w:noProof/>
          <w:sz w:val="24"/>
          <w:lang w:val="en-US"/>
        </w:rPr>
        <w:t xml:space="preserve">WADA </w:t>
      </w:r>
      <w:r w:rsidRPr="00D54BB7">
        <w:rPr>
          <w:rFonts w:ascii="Times New Roman" w:hAnsi="Times New Roman"/>
          <w:noProof/>
          <w:sz w:val="24"/>
          <w:u w:val="single" w:color="000000"/>
          <w:lang w:val="en-US"/>
        </w:rPr>
        <w:t>Technical Letter</w:t>
      </w:r>
      <w:r w:rsidRPr="00D54BB7">
        <w:rPr>
          <w:rFonts w:ascii="Times New Roman" w:hAnsi="Times New Roman"/>
          <w:noProof/>
          <w:sz w:val="24"/>
          <w:lang w:val="en-US"/>
        </w:rPr>
        <w:t>-11: Oxymorphone</w:t>
      </w:r>
    </w:p>
    <w:p w14:paraId="35A4C4F2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  <w:r w:rsidRPr="00D54BB7">
        <w:rPr>
          <w:rFonts w:ascii="Times New Roman" w:hAnsi="Times New Roman"/>
          <w:noProof/>
          <w:sz w:val="24"/>
          <w:lang w:val="en-US"/>
        </w:rPr>
        <w:t xml:space="preserve">[29] The World Anti-Doping </w:t>
      </w:r>
      <w:r w:rsidRPr="00D54BB7">
        <w:rPr>
          <w:rFonts w:ascii="Times New Roman" w:hAnsi="Times New Roman"/>
          <w:i/>
          <w:noProof/>
          <w:sz w:val="24"/>
          <w:lang w:val="en-US"/>
        </w:rPr>
        <w:t>Code International Standard Prohibited List</w:t>
      </w:r>
    </w:p>
    <w:p w14:paraId="0D243E6D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i/>
          <w:noProof/>
          <w:sz w:val="24"/>
          <w:szCs w:val="24"/>
          <w:lang w:val="en-US"/>
        </w:rPr>
      </w:pPr>
    </w:p>
    <w:p w14:paraId="427B8C27" w14:textId="77777777" w:rsidR="00D54BB7" w:rsidRPr="00D54BB7" w:rsidRDefault="00D54BB7" w:rsidP="00D54BB7">
      <w:pPr>
        <w:jc w:val="both"/>
        <w:rPr>
          <w:rFonts w:ascii="Times New Roman" w:eastAsia="Arial" w:hAnsi="Times New Roman" w:cs="Times New Roman"/>
          <w:i/>
          <w:noProof/>
          <w:sz w:val="24"/>
          <w:szCs w:val="24"/>
          <w:lang w:val="en-US"/>
        </w:rPr>
      </w:pPr>
    </w:p>
    <w:p w14:paraId="18BC829F" w14:textId="77777777" w:rsidR="00D54BB7" w:rsidRPr="00D54BB7" w:rsidRDefault="00D54BB7" w:rsidP="00D54BB7">
      <w:pPr>
        <w:jc w:val="both"/>
        <w:rPr>
          <w:rFonts w:ascii="Times New Roman" w:hAnsi="Times New Roman"/>
          <w:i/>
          <w:noProof/>
          <w:sz w:val="24"/>
          <w:lang w:val="en-US"/>
        </w:rPr>
      </w:pPr>
      <w:r w:rsidRPr="00D54BB7">
        <w:rPr>
          <w:rFonts w:ascii="Times New Roman" w:hAnsi="Times New Roman"/>
          <w:i/>
          <w:noProof/>
          <w:sz w:val="24"/>
          <w:lang w:val="en-US"/>
        </w:rPr>
        <w:t>[WADA tehnisko dokumentu un tehnisko vēstuļu aktuālās redakcijas ir atrodamas tīmekļa vietnē https://www.wada- ama.org/en/what-we-do/science-medical/laboratories.</w:t>
      </w:r>
    </w:p>
    <w:p w14:paraId="12EBC80F" w14:textId="77777777" w:rsidR="00D54BB7" w:rsidRPr="00D54BB7" w:rsidRDefault="00D54BB7" w:rsidP="00D54BB7">
      <w:pPr>
        <w:jc w:val="both"/>
        <w:rPr>
          <w:rFonts w:ascii="Times New Roman" w:hAnsi="Times New Roman"/>
          <w:i/>
          <w:noProof/>
          <w:sz w:val="24"/>
          <w:lang w:val="en-US"/>
        </w:rPr>
      </w:pPr>
      <w:r w:rsidRPr="00D54BB7">
        <w:rPr>
          <w:rFonts w:ascii="Times New Roman" w:hAnsi="Times New Roman"/>
          <w:i/>
          <w:noProof/>
          <w:sz w:val="24"/>
          <w:lang w:val="en-US"/>
        </w:rPr>
        <w:t>Pašreizējā WADA Aizliegto vielu un metožu saraksta versija ir atrodama tīmekļa vietnē https://www.wada-ama.org/en/what-we-do/the- prohibited-list.]</w:t>
      </w:r>
    </w:p>
    <w:sectPr w:rsidR="00D54BB7" w:rsidRPr="00D54BB7" w:rsidSect="005138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EEEC" w14:textId="77777777" w:rsidR="00D41798" w:rsidRPr="00D54BB7" w:rsidRDefault="00D41798">
      <w:pPr>
        <w:rPr>
          <w:noProof/>
          <w:lang w:val="en-US"/>
        </w:rPr>
      </w:pPr>
      <w:r w:rsidRPr="00D54BB7">
        <w:rPr>
          <w:noProof/>
          <w:lang w:val="en-US"/>
        </w:rPr>
        <w:separator/>
      </w:r>
    </w:p>
  </w:endnote>
  <w:endnote w:type="continuationSeparator" w:id="0">
    <w:p w14:paraId="2AFDC4B3" w14:textId="77777777" w:rsidR="00D41798" w:rsidRPr="00D54BB7" w:rsidRDefault="00D41798">
      <w:pPr>
        <w:rPr>
          <w:noProof/>
          <w:lang w:val="en-US"/>
        </w:rPr>
      </w:pPr>
      <w:r w:rsidRPr="00D54BB7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ABFD" w14:textId="77777777" w:rsidR="00D54BB7" w:rsidRDefault="00D54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B599" w14:textId="77777777" w:rsidR="00447AEE" w:rsidRPr="00D54BB7" w:rsidRDefault="00447AEE" w:rsidP="00447AEE">
    <w:pPr>
      <w:pStyle w:val="Header"/>
      <w:tabs>
        <w:tab w:val="left" w:pos="9072"/>
      </w:tabs>
      <w:jc w:val="both"/>
      <w:rPr>
        <w:rStyle w:val="PageNumber"/>
        <w:rFonts w:ascii="Times New Roman" w:hAnsi="Times New Roman" w:cs="Times New Roman"/>
        <w:noProof/>
        <w:sz w:val="20"/>
        <w:szCs w:val="20"/>
        <w:lang w:val="en-US"/>
      </w:rPr>
    </w:pPr>
  </w:p>
  <w:p w14:paraId="1F488B0C" w14:textId="77777777" w:rsidR="00447AEE" w:rsidRPr="00D54BB7" w:rsidRDefault="00447AEE" w:rsidP="00447AEE">
    <w:pPr>
      <w:pStyle w:val="Header"/>
      <w:tabs>
        <w:tab w:val="clear" w:pos="4513"/>
        <w:tab w:val="clear" w:pos="9026"/>
        <w:tab w:val="right" w:leader="underscore" w:pos="9072"/>
      </w:tabs>
      <w:jc w:val="both"/>
      <w:rPr>
        <w:rFonts w:ascii="Times New Roman" w:hAnsi="Times New Roman" w:cs="Times New Roman"/>
        <w:noProof/>
        <w:sz w:val="20"/>
        <w:szCs w:val="20"/>
        <w:lang w:val="en-US"/>
      </w:rPr>
    </w:pPr>
    <w:r w:rsidRPr="00D54BB7">
      <w:rPr>
        <w:rFonts w:ascii="Times New Roman" w:hAnsi="Times New Roman" w:cs="Times New Roman"/>
        <w:noProof/>
        <w:sz w:val="20"/>
        <w:szCs w:val="20"/>
        <w:lang w:val="en-US"/>
      </w:rPr>
      <w:tab/>
    </w:r>
  </w:p>
  <w:p w14:paraId="3D0B0461" w14:textId="77777777" w:rsidR="00447AEE" w:rsidRPr="00D54BB7" w:rsidRDefault="00447AEE" w:rsidP="00447AEE">
    <w:pPr>
      <w:pStyle w:val="Header"/>
      <w:tabs>
        <w:tab w:val="right" w:pos="9072"/>
      </w:tabs>
      <w:jc w:val="both"/>
      <w:rPr>
        <w:rStyle w:val="PageNumber"/>
        <w:rFonts w:ascii="Times New Roman" w:hAnsi="Times New Roman" w:cs="Times New Roman"/>
        <w:noProof/>
        <w:sz w:val="20"/>
        <w:szCs w:val="20"/>
        <w:lang w:val="en-US"/>
      </w:rPr>
    </w:pPr>
  </w:p>
  <w:p w14:paraId="6AB3DFD7" w14:textId="77777777" w:rsidR="00447AEE" w:rsidRPr="00D54BB7" w:rsidRDefault="00447AEE" w:rsidP="00447AEE">
    <w:pPr>
      <w:pStyle w:val="Footer"/>
      <w:tabs>
        <w:tab w:val="clear" w:pos="4513"/>
        <w:tab w:val="clear" w:pos="9026"/>
        <w:tab w:val="center" w:pos="9072"/>
      </w:tabs>
      <w:jc w:val="both"/>
      <w:rPr>
        <w:rFonts w:ascii="Times New Roman" w:hAnsi="Times New Roman" w:cs="Times New Roman"/>
        <w:noProof/>
        <w:sz w:val="20"/>
        <w:szCs w:val="20"/>
        <w:lang w:val="en-US"/>
      </w:rPr>
    </w:pPr>
    <w:r w:rsidRPr="00D54BB7">
      <w:rPr>
        <w:rFonts w:ascii="Times New Roman" w:hAnsi="Times New Roman" w:cs="Times New Roman"/>
        <w:noProof/>
        <w:sz w:val="20"/>
        <w:szCs w:val="20"/>
        <w:lang w:val="en-US"/>
      </w:rPr>
      <w:t xml:space="preserve">Tulkojums </w:t>
    </w:r>
    <w:r w:rsidRPr="00D54BB7">
      <w:rPr>
        <w:rFonts w:ascii="Times New Roman" w:hAnsi="Times New Roman" w:cs="Times New Roman"/>
        <w:noProof/>
        <w:sz w:val="20"/>
        <w:szCs w:val="20"/>
        <w:lang w:val="en-US"/>
      </w:rPr>
      <w:fldChar w:fldCharType="begin"/>
    </w:r>
    <w:r w:rsidRPr="00D54BB7">
      <w:rPr>
        <w:rFonts w:ascii="Times New Roman" w:hAnsi="Times New Roman" w:cs="Times New Roman"/>
        <w:noProof/>
        <w:sz w:val="20"/>
        <w:szCs w:val="20"/>
        <w:lang w:val="en-US"/>
      </w:rPr>
      <w:instrText>symbol 211 \f "Symbol" \s 9</w:instrText>
    </w:r>
    <w:r w:rsidRPr="00D54BB7">
      <w:rPr>
        <w:rFonts w:ascii="Times New Roman" w:hAnsi="Times New Roman" w:cs="Times New Roman"/>
        <w:noProof/>
        <w:sz w:val="20"/>
        <w:szCs w:val="20"/>
        <w:lang w:val="en-US"/>
      </w:rPr>
      <w:fldChar w:fldCharType="separate"/>
    </w:r>
    <w:r w:rsidRPr="00D54BB7">
      <w:rPr>
        <w:rFonts w:ascii="Times New Roman" w:hAnsi="Times New Roman" w:cs="Times New Roman"/>
        <w:noProof/>
        <w:sz w:val="20"/>
        <w:szCs w:val="20"/>
        <w:lang w:val="en-US"/>
      </w:rPr>
      <w:t>Ó</w:t>
    </w:r>
    <w:r w:rsidRPr="00D54BB7">
      <w:rPr>
        <w:rFonts w:ascii="Times New Roman" w:hAnsi="Times New Roman" w:cs="Times New Roman"/>
        <w:noProof/>
        <w:sz w:val="20"/>
        <w:szCs w:val="20"/>
        <w:lang w:val="en-US"/>
      </w:rPr>
      <w:fldChar w:fldCharType="end"/>
    </w:r>
    <w:r w:rsidRPr="00D54BB7">
      <w:rPr>
        <w:rFonts w:ascii="Times New Roman" w:hAnsi="Times New Roman" w:cs="Times New Roman"/>
        <w:noProof/>
        <w:sz w:val="20"/>
        <w:szCs w:val="20"/>
        <w:lang w:val="en-US"/>
      </w:rPr>
      <w:t xml:space="preserve"> Valsts valodas centrs, 2022</w:t>
    </w:r>
    <w:r w:rsidRPr="00D54BB7">
      <w:rPr>
        <w:rFonts w:ascii="Times New Roman" w:hAnsi="Times New Roman" w:cs="Times New Roman"/>
        <w:noProof/>
        <w:sz w:val="20"/>
        <w:szCs w:val="20"/>
        <w:lang w:val="en-US"/>
      </w:rPr>
      <w:tab/>
    </w:r>
    <w:r w:rsidRPr="00D54BB7"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fldChar w:fldCharType="begin"/>
    </w:r>
    <w:r w:rsidRPr="00D54BB7"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instrText xml:space="preserve">page </w:instrText>
    </w:r>
    <w:r w:rsidRPr="00D54BB7"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fldChar w:fldCharType="separate"/>
    </w:r>
    <w:r w:rsidRPr="00D54BB7"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t>2</w:t>
    </w:r>
    <w:r w:rsidRPr="00D54BB7"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fldChar w:fldCharType="end"/>
    </w:r>
  </w:p>
  <w:p w14:paraId="61AC6397" w14:textId="33FB9216" w:rsidR="00214010" w:rsidRPr="00D54BB7" w:rsidRDefault="00214010">
    <w:pPr>
      <w:spacing w:line="14" w:lineRule="auto"/>
      <w:rPr>
        <w:noProof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0A1A" w14:textId="77777777" w:rsidR="00012364" w:rsidRPr="00D54BB7" w:rsidRDefault="00012364" w:rsidP="00012364">
    <w:pPr>
      <w:pStyle w:val="Header"/>
      <w:tabs>
        <w:tab w:val="left" w:pos="9072"/>
      </w:tabs>
      <w:jc w:val="both"/>
      <w:rPr>
        <w:rStyle w:val="PageNumber"/>
        <w:rFonts w:ascii="Times New Roman" w:hAnsi="Times New Roman"/>
        <w:noProof/>
        <w:sz w:val="20"/>
        <w:szCs w:val="18"/>
        <w:lang w:val="en-US"/>
      </w:rPr>
    </w:pPr>
    <w:bookmarkStart w:id="14" w:name="_Hlk496261764"/>
    <w:bookmarkStart w:id="15" w:name="_Hlk496261765"/>
    <w:bookmarkStart w:id="16" w:name="_Hlk496261766"/>
    <w:bookmarkStart w:id="17" w:name="_Hlk30491075"/>
    <w:bookmarkStart w:id="18" w:name="_Hlk30491076"/>
  </w:p>
  <w:p w14:paraId="308E6508" w14:textId="77777777" w:rsidR="00012364" w:rsidRPr="00D54BB7" w:rsidRDefault="00012364" w:rsidP="00012364">
    <w:pPr>
      <w:pStyle w:val="Header"/>
      <w:tabs>
        <w:tab w:val="clear" w:pos="4513"/>
        <w:tab w:val="clear" w:pos="9026"/>
        <w:tab w:val="left" w:leader="underscore" w:pos="9072"/>
      </w:tabs>
      <w:jc w:val="both"/>
      <w:rPr>
        <w:rFonts w:ascii="Times New Roman" w:hAnsi="Times New Roman"/>
        <w:noProof/>
        <w:sz w:val="20"/>
        <w:szCs w:val="18"/>
        <w:lang w:val="en-US"/>
      </w:rPr>
    </w:pPr>
    <w:r w:rsidRPr="00D54BB7">
      <w:rPr>
        <w:rFonts w:ascii="Times New Roman" w:hAnsi="Times New Roman"/>
        <w:noProof/>
        <w:sz w:val="20"/>
        <w:szCs w:val="18"/>
        <w:lang w:val="en-US"/>
      </w:rPr>
      <w:tab/>
    </w:r>
  </w:p>
  <w:p w14:paraId="61C6B8B9" w14:textId="77777777" w:rsidR="00012364" w:rsidRPr="00D54BB7" w:rsidRDefault="00012364" w:rsidP="00012364">
    <w:pPr>
      <w:pStyle w:val="Header"/>
      <w:tabs>
        <w:tab w:val="left" w:pos="9072"/>
      </w:tabs>
      <w:jc w:val="both"/>
      <w:rPr>
        <w:rStyle w:val="PageNumber"/>
        <w:rFonts w:ascii="Times New Roman" w:hAnsi="Times New Roman"/>
        <w:noProof/>
        <w:sz w:val="20"/>
        <w:szCs w:val="18"/>
        <w:lang w:val="en-US"/>
      </w:rPr>
    </w:pPr>
  </w:p>
  <w:p w14:paraId="1FA982BA" w14:textId="77777777" w:rsidR="00012364" w:rsidRPr="00D54BB7" w:rsidRDefault="00012364" w:rsidP="00012364">
    <w:pPr>
      <w:pStyle w:val="Footer"/>
      <w:jc w:val="both"/>
      <w:rPr>
        <w:rFonts w:ascii="Times New Roman" w:hAnsi="Times New Roman"/>
        <w:noProof/>
        <w:sz w:val="20"/>
        <w:szCs w:val="18"/>
        <w:lang w:val="en-US"/>
      </w:rPr>
    </w:pPr>
    <w:r w:rsidRPr="00D54BB7">
      <w:rPr>
        <w:rFonts w:ascii="Times New Roman" w:hAnsi="Times New Roman"/>
        <w:noProof/>
        <w:sz w:val="20"/>
        <w:szCs w:val="18"/>
        <w:lang w:val="en-US"/>
      </w:rPr>
      <w:t xml:space="preserve">Tulkojums </w:t>
    </w:r>
    <w:r w:rsidRPr="00D54BB7">
      <w:rPr>
        <w:rFonts w:ascii="Times New Roman" w:hAnsi="Times New Roman"/>
        <w:noProof/>
        <w:sz w:val="20"/>
        <w:szCs w:val="18"/>
        <w:lang w:val="en-US"/>
      </w:rPr>
      <w:fldChar w:fldCharType="begin"/>
    </w:r>
    <w:r w:rsidRPr="00D54BB7">
      <w:rPr>
        <w:rFonts w:ascii="Times New Roman" w:hAnsi="Times New Roman"/>
        <w:noProof/>
        <w:sz w:val="20"/>
        <w:szCs w:val="18"/>
        <w:lang w:val="en-US"/>
      </w:rPr>
      <w:instrText>symbol 211 \f "Symbol" \s 9</w:instrText>
    </w:r>
    <w:r w:rsidRPr="00D54BB7">
      <w:rPr>
        <w:rFonts w:ascii="Times New Roman" w:hAnsi="Times New Roman"/>
        <w:noProof/>
        <w:sz w:val="20"/>
        <w:szCs w:val="18"/>
        <w:lang w:val="en-US"/>
      </w:rPr>
      <w:fldChar w:fldCharType="separate"/>
    </w:r>
    <w:r w:rsidRPr="00D54BB7">
      <w:rPr>
        <w:rFonts w:ascii="Times New Roman" w:hAnsi="Times New Roman"/>
        <w:noProof/>
        <w:sz w:val="20"/>
        <w:szCs w:val="18"/>
        <w:lang w:val="en-US"/>
      </w:rPr>
      <w:t>Ó</w:t>
    </w:r>
    <w:r w:rsidRPr="00D54BB7">
      <w:rPr>
        <w:rFonts w:ascii="Times New Roman" w:hAnsi="Times New Roman"/>
        <w:noProof/>
        <w:sz w:val="20"/>
        <w:szCs w:val="18"/>
        <w:lang w:val="en-US"/>
      </w:rPr>
      <w:fldChar w:fldCharType="end"/>
    </w:r>
    <w:r w:rsidRPr="00D54BB7">
      <w:rPr>
        <w:rFonts w:ascii="Times New Roman" w:hAnsi="Times New Roman"/>
        <w:noProof/>
        <w:sz w:val="20"/>
        <w:szCs w:val="18"/>
        <w:lang w:val="en-US"/>
      </w:rPr>
      <w:t xml:space="preserve"> Valsts valodas centrs, 20</w:t>
    </w:r>
    <w:bookmarkEnd w:id="14"/>
    <w:bookmarkEnd w:id="15"/>
    <w:bookmarkEnd w:id="16"/>
    <w:r w:rsidRPr="00D54BB7">
      <w:rPr>
        <w:rFonts w:ascii="Times New Roman" w:hAnsi="Times New Roman"/>
        <w:noProof/>
        <w:sz w:val="20"/>
        <w:szCs w:val="18"/>
        <w:lang w:val="en-US"/>
      </w:rPr>
      <w:t>2</w:t>
    </w:r>
    <w:bookmarkEnd w:id="17"/>
    <w:bookmarkEnd w:id="18"/>
    <w:r w:rsidRPr="00D54BB7">
      <w:rPr>
        <w:rFonts w:ascii="Times New Roman" w:hAnsi="Times New Roman"/>
        <w:noProof/>
        <w:sz w:val="20"/>
        <w:szCs w:val="18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77E9" w14:textId="77777777" w:rsidR="00D41798" w:rsidRPr="00D54BB7" w:rsidRDefault="00D41798">
      <w:pPr>
        <w:rPr>
          <w:noProof/>
          <w:lang w:val="en-US"/>
        </w:rPr>
      </w:pPr>
      <w:r w:rsidRPr="00D54BB7">
        <w:rPr>
          <w:noProof/>
          <w:lang w:val="en-US"/>
        </w:rPr>
        <w:separator/>
      </w:r>
    </w:p>
  </w:footnote>
  <w:footnote w:type="continuationSeparator" w:id="0">
    <w:p w14:paraId="20167BC1" w14:textId="77777777" w:rsidR="00D41798" w:rsidRPr="00D54BB7" w:rsidRDefault="00D41798">
      <w:pPr>
        <w:rPr>
          <w:noProof/>
          <w:lang w:val="en-US"/>
        </w:rPr>
      </w:pPr>
      <w:r w:rsidRPr="00D54BB7">
        <w:rPr>
          <w:noProof/>
          <w:lang w:val="en-US"/>
        </w:rPr>
        <w:continuationSeparator/>
      </w:r>
    </w:p>
  </w:footnote>
  <w:footnote w:id="1">
    <w:p w14:paraId="14566EF7" w14:textId="77777777" w:rsidR="00D54BB7" w:rsidRPr="00D54BB7" w:rsidRDefault="00D54BB7" w:rsidP="00D54BB7">
      <w:pPr>
        <w:pStyle w:val="FootnoteText"/>
        <w:rPr>
          <w:rFonts w:ascii="Times New Roman" w:hAnsi="Times New Roman" w:cs="Times New Roman"/>
          <w:noProof/>
          <w:lang w:val="en-US"/>
        </w:rPr>
      </w:pPr>
      <w:r w:rsidRPr="00D54BB7">
        <w:rPr>
          <w:rStyle w:val="FootnoteReference"/>
          <w:rFonts w:ascii="Times New Roman" w:hAnsi="Times New Roman" w:cs="Times New Roman"/>
          <w:noProof/>
          <w:lang w:val="en-US"/>
        </w:rPr>
        <w:footnoteRef/>
      </w:r>
      <w:r w:rsidRPr="00D54BB7">
        <w:rPr>
          <w:rFonts w:ascii="Times New Roman" w:hAnsi="Times New Roman"/>
          <w:noProof/>
          <w:lang w:val="en-US"/>
        </w:rPr>
        <w:t xml:space="preserve"> Informāciju par 19-NA rezultātu apstiprināšanu skatīt </w:t>
      </w:r>
      <w:r w:rsidRPr="00D54BB7">
        <w:rPr>
          <w:rFonts w:ascii="Times New Roman" w:hAnsi="Times New Roman"/>
          <w:i/>
          <w:iCs/>
          <w:noProof/>
          <w:lang w:val="en-US"/>
        </w:rPr>
        <w:t>TD NA</w:t>
      </w:r>
      <w:r w:rsidRPr="00D54BB7">
        <w:rPr>
          <w:rFonts w:ascii="Times New Roman" w:hAnsi="Times New Roman"/>
          <w:noProof/>
          <w:vertAlign w:val="superscript"/>
          <w:lang w:val="en-US"/>
        </w:rPr>
        <w:t>[5]</w:t>
      </w:r>
      <w:r w:rsidRPr="00D54BB7">
        <w:rPr>
          <w:rFonts w:ascii="Times New Roman" w:hAnsi="Times New Roman"/>
          <w:noProof/>
          <w:lang w:val="en-US"/>
        </w:rPr>
        <w:t>.</w:t>
      </w:r>
    </w:p>
  </w:footnote>
  <w:footnote w:id="2">
    <w:p w14:paraId="52EBC542" w14:textId="77777777" w:rsidR="00D54BB7" w:rsidRPr="00D54BB7" w:rsidRDefault="00D54BB7" w:rsidP="00D54BB7">
      <w:pPr>
        <w:pStyle w:val="FootnoteText"/>
        <w:rPr>
          <w:rFonts w:ascii="Times New Roman" w:hAnsi="Times New Roman" w:cs="Times New Roman"/>
          <w:noProof/>
          <w:lang w:val="en-US"/>
        </w:rPr>
      </w:pPr>
      <w:r w:rsidRPr="00D54BB7">
        <w:rPr>
          <w:rStyle w:val="FootnoteReference"/>
          <w:rFonts w:ascii="Times New Roman" w:hAnsi="Times New Roman" w:cs="Times New Roman"/>
          <w:noProof/>
          <w:lang w:val="en-US"/>
        </w:rPr>
        <w:footnoteRef/>
      </w:r>
      <w:r w:rsidRPr="00D54BB7">
        <w:rPr>
          <w:rFonts w:ascii="Times New Roman" w:hAnsi="Times New Roman"/>
          <w:noProof/>
          <w:lang w:val="en-US"/>
        </w:rPr>
        <w:t xml:space="preserve"> </w:t>
      </w:r>
      <w:r w:rsidRPr="00D54BB7">
        <w:rPr>
          <w:rFonts w:ascii="Times New Roman" w:hAnsi="Times New Roman"/>
          <w:i/>
          <w:iCs/>
          <w:noProof/>
          <w:lang w:val="en-US"/>
        </w:rPr>
        <w:t>QC</w:t>
      </w:r>
      <w:r w:rsidRPr="00D54BB7">
        <w:rPr>
          <w:rFonts w:ascii="Times New Roman" w:hAnsi="Times New Roman"/>
          <w:noProof/>
          <w:lang w:val="en-US"/>
        </w:rPr>
        <w:t xml:space="preserve"> sagatavo no citas </w:t>
      </w:r>
      <w:r w:rsidRPr="00D54BB7">
        <w:rPr>
          <w:rFonts w:ascii="Times New Roman" w:hAnsi="Times New Roman"/>
          <w:noProof/>
          <w:u w:val="single"/>
          <w:lang w:val="en-US"/>
        </w:rPr>
        <w:t>atsauces materiāla</w:t>
      </w:r>
      <w:r w:rsidRPr="00D54BB7">
        <w:rPr>
          <w:rFonts w:ascii="Times New Roman" w:hAnsi="Times New Roman"/>
          <w:noProof/>
          <w:lang w:val="en-US"/>
        </w:rPr>
        <w:t xml:space="preserve"> partijas vai cita standartšķīduma nekā tā, kas lietots vienpunkta kalibratoram.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099C" w14:textId="77777777" w:rsidR="00D54BB7" w:rsidRDefault="00D54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8461" w14:textId="77777777" w:rsidR="00753DA4" w:rsidRPr="00D54BB7" w:rsidRDefault="00753DA4" w:rsidP="00753DA4">
    <w:pPr>
      <w:pStyle w:val="Header"/>
      <w:rPr>
        <w:rStyle w:val="PageNumber"/>
        <w:rFonts w:ascii="Times New Roman" w:hAnsi="Times New Roman" w:cs="Times New Roman"/>
        <w:noProof/>
        <w:sz w:val="20"/>
        <w:szCs w:val="20"/>
        <w:lang w:val="en-US"/>
      </w:rPr>
    </w:pPr>
    <w:bookmarkStart w:id="0" w:name="_Hlk496261784"/>
    <w:bookmarkStart w:id="1" w:name="_Hlk496261785"/>
    <w:bookmarkStart w:id="2" w:name="_Hlk496261786"/>
    <w:bookmarkStart w:id="3" w:name="_Hlk502757728"/>
    <w:bookmarkStart w:id="4" w:name="_Hlk502757729"/>
    <w:bookmarkStart w:id="5" w:name="_Hlk502757738"/>
    <w:bookmarkStart w:id="6" w:name="_Hlk502757739"/>
    <w:bookmarkStart w:id="7" w:name="_Hlk30491084"/>
    <w:bookmarkStart w:id="8" w:name="_Hlk30491085"/>
  </w:p>
  <w:p w14:paraId="7B193F8C" w14:textId="77777777" w:rsidR="00753DA4" w:rsidRPr="00D54BB7" w:rsidRDefault="00753DA4" w:rsidP="00753DA4">
    <w:pPr>
      <w:pStyle w:val="Header"/>
      <w:tabs>
        <w:tab w:val="clear" w:pos="4513"/>
        <w:tab w:val="clear" w:pos="9026"/>
        <w:tab w:val="right" w:leader="underscore" w:pos="9072"/>
      </w:tabs>
      <w:rPr>
        <w:rFonts w:ascii="Times New Roman" w:hAnsi="Times New Roman" w:cs="Times New Roman"/>
        <w:noProof/>
        <w:sz w:val="20"/>
        <w:szCs w:val="20"/>
        <w:lang w:val="en-US"/>
      </w:rPr>
    </w:pPr>
    <w:r w:rsidRPr="00D54BB7">
      <w:rPr>
        <w:rFonts w:ascii="Times New Roman" w:hAnsi="Times New Roman" w:cs="Times New Roman"/>
        <w:noProof/>
        <w:sz w:val="20"/>
        <w:szCs w:val="20"/>
        <w:lang w:val="en-US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p w14:paraId="12A7D48D" w14:textId="77777777" w:rsidR="00753DA4" w:rsidRPr="00D54BB7" w:rsidRDefault="00753DA4" w:rsidP="00753DA4">
    <w:pPr>
      <w:pStyle w:val="Header"/>
      <w:rPr>
        <w:rFonts w:ascii="Times New Roman" w:hAnsi="Times New Roman" w:cs="Times New Roman"/>
        <w:noProof/>
        <w:sz w:val="20"/>
        <w:szCs w:val="20"/>
        <w:lang w:val="en-US"/>
      </w:rPr>
    </w:pPr>
  </w:p>
  <w:p w14:paraId="61AC6396" w14:textId="3882AA11" w:rsidR="00214010" w:rsidRPr="00D54BB7" w:rsidRDefault="00214010">
    <w:pPr>
      <w:spacing w:line="14" w:lineRule="auto"/>
      <w:rPr>
        <w:noProof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17F0" w14:textId="77777777" w:rsidR="00761C89" w:rsidRPr="00D54BB7" w:rsidRDefault="00761C89" w:rsidP="00761C89">
    <w:pPr>
      <w:pBdr>
        <w:bottom w:val="single" w:sz="12" w:space="5" w:color="auto"/>
      </w:pBdr>
      <w:rPr>
        <w:rFonts w:ascii="Times New Roman" w:hAnsi="Times New Roman" w:cs="Times New Roman"/>
        <w:noProof/>
        <w:sz w:val="20"/>
        <w:szCs w:val="20"/>
        <w:lang w:val="en-US"/>
      </w:rPr>
    </w:pPr>
    <w:bookmarkStart w:id="9" w:name="_Hlk496261745"/>
    <w:bookmarkStart w:id="10" w:name="_Hlk496261746"/>
    <w:bookmarkStart w:id="11" w:name="_Hlk496261747"/>
    <w:bookmarkStart w:id="12" w:name="_Hlk30491063"/>
    <w:bookmarkStart w:id="13" w:name="_Hlk30491064"/>
  </w:p>
  <w:bookmarkEnd w:id="9"/>
  <w:bookmarkEnd w:id="10"/>
  <w:bookmarkEnd w:id="11"/>
  <w:bookmarkEnd w:id="12"/>
  <w:bookmarkEnd w:id="13"/>
  <w:p w14:paraId="38A81300" w14:textId="77777777" w:rsidR="00761C89" w:rsidRPr="00D54BB7" w:rsidRDefault="00761C89" w:rsidP="00761C89">
    <w:pPr>
      <w:pStyle w:val="Header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3F2"/>
    <w:multiLevelType w:val="hybridMultilevel"/>
    <w:tmpl w:val="C1685092"/>
    <w:lvl w:ilvl="0" w:tplc="4168A16E">
      <w:start w:val="1"/>
      <w:numFmt w:val="bullet"/>
      <w:lvlText w:val=""/>
      <w:lvlJc w:val="left"/>
      <w:pPr>
        <w:ind w:left="267" w:hanging="181"/>
      </w:pPr>
      <w:rPr>
        <w:rFonts w:ascii="Symbol" w:eastAsia="Symbol" w:hAnsi="Symbol" w:hint="default"/>
        <w:w w:val="99"/>
        <w:sz w:val="20"/>
        <w:szCs w:val="20"/>
      </w:rPr>
    </w:lvl>
    <w:lvl w:ilvl="1" w:tplc="6C02275E">
      <w:start w:val="1"/>
      <w:numFmt w:val="bullet"/>
      <w:lvlText w:val="•"/>
      <w:lvlJc w:val="left"/>
      <w:pPr>
        <w:ind w:left="590" w:hanging="181"/>
      </w:pPr>
      <w:rPr>
        <w:rFonts w:hint="default"/>
      </w:rPr>
    </w:lvl>
    <w:lvl w:ilvl="2" w:tplc="B2725E10">
      <w:start w:val="1"/>
      <w:numFmt w:val="bullet"/>
      <w:lvlText w:val="•"/>
      <w:lvlJc w:val="left"/>
      <w:pPr>
        <w:ind w:left="912" w:hanging="181"/>
      </w:pPr>
      <w:rPr>
        <w:rFonts w:hint="default"/>
      </w:rPr>
    </w:lvl>
    <w:lvl w:ilvl="3" w:tplc="19B6CA40">
      <w:start w:val="1"/>
      <w:numFmt w:val="bullet"/>
      <w:lvlText w:val="•"/>
      <w:lvlJc w:val="left"/>
      <w:pPr>
        <w:ind w:left="1234" w:hanging="181"/>
      </w:pPr>
      <w:rPr>
        <w:rFonts w:hint="default"/>
      </w:rPr>
    </w:lvl>
    <w:lvl w:ilvl="4" w:tplc="83501D44">
      <w:start w:val="1"/>
      <w:numFmt w:val="bullet"/>
      <w:lvlText w:val="•"/>
      <w:lvlJc w:val="left"/>
      <w:pPr>
        <w:ind w:left="1556" w:hanging="181"/>
      </w:pPr>
      <w:rPr>
        <w:rFonts w:hint="default"/>
      </w:rPr>
    </w:lvl>
    <w:lvl w:ilvl="5" w:tplc="272C38C4">
      <w:start w:val="1"/>
      <w:numFmt w:val="bullet"/>
      <w:lvlText w:val="•"/>
      <w:lvlJc w:val="left"/>
      <w:pPr>
        <w:ind w:left="1878" w:hanging="181"/>
      </w:pPr>
      <w:rPr>
        <w:rFonts w:hint="default"/>
      </w:rPr>
    </w:lvl>
    <w:lvl w:ilvl="6" w:tplc="3DF8C948">
      <w:start w:val="1"/>
      <w:numFmt w:val="bullet"/>
      <w:lvlText w:val="•"/>
      <w:lvlJc w:val="left"/>
      <w:pPr>
        <w:ind w:left="2201" w:hanging="181"/>
      </w:pPr>
      <w:rPr>
        <w:rFonts w:hint="default"/>
      </w:rPr>
    </w:lvl>
    <w:lvl w:ilvl="7" w:tplc="53789CE2">
      <w:start w:val="1"/>
      <w:numFmt w:val="bullet"/>
      <w:lvlText w:val="•"/>
      <w:lvlJc w:val="left"/>
      <w:pPr>
        <w:ind w:left="2523" w:hanging="181"/>
      </w:pPr>
      <w:rPr>
        <w:rFonts w:hint="default"/>
      </w:rPr>
    </w:lvl>
    <w:lvl w:ilvl="8" w:tplc="F148E538">
      <w:start w:val="1"/>
      <w:numFmt w:val="bullet"/>
      <w:lvlText w:val="•"/>
      <w:lvlJc w:val="left"/>
      <w:pPr>
        <w:ind w:left="2845" w:hanging="181"/>
      </w:pPr>
      <w:rPr>
        <w:rFonts w:hint="default"/>
      </w:rPr>
    </w:lvl>
  </w:abstractNum>
  <w:abstractNum w:abstractNumId="1" w15:restartNumberingAfterBreak="0">
    <w:nsid w:val="130B39FB"/>
    <w:multiLevelType w:val="hybridMultilevel"/>
    <w:tmpl w:val="18805038"/>
    <w:lvl w:ilvl="0" w:tplc="0480E6DC">
      <w:start w:val="1"/>
      <w:numFmt w:val="bullet"/>
      <w:lvlText w:val=""/>
      <w:lvlJc w:val="left"/>
      <w:pPr>
        <w:ind w:left="265" w:hanging="181"/>
      </w:pPr>
      <w:rPr>
        <w:rFonts w:ascii="Symbol" w:eastAsia="Symbol" w:hAnsi="Symbol" w:hint="default"/>
        <w:w w:val="99"/>
        <w:sz w:val="20"/>
        <w:szCs w:val="20"/>
      </w:rPr>
    </w:lvl>
    <w:lvl w:ilvl="1" w:tplc="383A827A">
      <w:start w:val="1"/>
      <w:numFmt w:val="bullet"/>
      <w:lvlText w:val="•"/>
      <w:lvlJc w:val="left"/>
      <w:pPr>
        <w:ind w:left="587" w:hanging="181"/>
      </w:pPr>
      <w:rPr>
        <w:rFonts w:hint="default"/>
      </w:rPr>
    </w:lvl>
    <w:lvl w:ilvl="2" w:tplc="0090070C">
      <w:start w:val="1"/>
      <w:numFmt w:val="bullet"/>
      <w:lvlText w:val="•"/>
      <w:lvlJc w:val="left"/>
      <w:pPr>
        <w:ind w:left="910" w:hanging="181"/>
      </w:pPr>
      <w:rPr>
        <w:rFonts w:hint="default"/>
      </w:rPr>
    </w:lvl>
    <w:lvl w:ilvl="3" w:tplc="A32E8590">
      <w:start w:val="1"/>
      <w:numFmt w:val="bullet"/>
      <w:lvlText w:val="•"/>
      <w:lvlJc w:val="left"/>
      <w:pPr>
        <w:ind w:left="1232" w:hanging="181"/>
      </w:pPr>
      <w:rPr>
        <w:rFonts w:hint="default"/>
      </w:rPr>
    </w:lvl>
    <w:lvl w:ilvl="4" w:tplc="5D9A79FE">
      <w:start w:val="1"/>
      <w:numFmt w:val="bullet"/>
      <w:lvlText w:val="•"/>
      <w:lvlJc w:val="left"/>
      <w:pPr>
        <w:ind w:left="1555" w:hanging="181"/>
      </w:pPr>
      <w:rPr>
        <w:rFonts w:hint="default"/>
      </w:rPr>
    </w:lvl>
    <w:lvl w:ilvl="5" w:tplc="94B8EFBA">
      <w:start w:val="1"/>
      <w:numFmt w:val="bullet"/>
      <w:lvlText w:val="•"/>
      <w:lvlJc w:val="left"/>
      <w:pPr>
        <w:ind w:left="1877" w:hanging="181"/>
      </w:pPr>
      <w:rPr>
        <w:rFonts w:hint="default"/>
      </w:rPr>
    </w:lvl>
    <w:lvl w:ilvl="6" w:tplc="418634D2">
      <w:start w:val="1"/>
      <w:numFmt w:val="bullet"/>
      <w:lvlText w:val="•"/>
      <w:lvlJc w:val="left"/>
      <w:pPr>
        <w:ind w:left="2200" w:hanging="181"/>
      </w:pPr>
      <w:rPr>
        <w:rFonts w:hint="default"/>
      </w:rPr>
    </w:lvl>
    <w:lvl w:ilvl="7" w:tplc="E97CC596">
      <w:start w:val="1"/>
      <w:numFmt w:val="bullet"/>
      <w:lvlText w:val="•"/>
      <w:lvlJc w:val="left"/>
      <w:pPr>
        <w:ind w:left="2522" w:hanging="181"/>
      </w:pPr>
      <w:rPr>
        <w:rFonts w:hint="default"/>
      </w:rPr>
    </w:lvl>
    <w:lvl w:ilvl="8" w:tplc="AE8814AE">
      <w:start w:val="1"/>
      <w:numFmt w:val="bullet"/>
      <w:lvlText w:val="•"/>
      <w:lvlJc w:val="left"/>
      <w:pPr>
        <w:ind w:left="2845" w:hanging="181"/>
      </w:pPr>
      <w:rPr>
        <w:rFonts w:hint="default"/>
      </w:rPr>
    </w:lvl>
  </w:abstractNum>
  <w:abstractNum w:abstractNumId="2" w15:restartNumberingAfterBreak="0">
    <w:nsid w:val="1BA1225A"/>
    <w:multiLevelType w:val="hybridMultilevel"/>
    <w:tmpl w:val="1CA68364"/>
    <w:lvl w:ilvl="0" w:tplc="093CB530">
      <w:start w:val="1"/>
      <w:numFmt w:val="bullet"/>
      <w:lvlText w:val=""/>
      <w:lvlJc w:val="left"/>
      <w:pPr>
        <w:ind w:left="265" w:hanging="181"/>
      </w:pPr>
      <w:rPr>
        <w:rFonts w:ascii="Symbol" w:eastAsia="Symbol" w:hAnsi="Symbol" w:hint="default"/>
        <w:w w:val="99"/>
        <w:sz w:val="20"/>
        <w:szCs w:val="20"/>
      </w:rPr>
    </w:lvl>
    <w:lvl w:ilvl="1" w:tplc="914A3D26">
      <w:start w:val="1"/>
      <w:numFmt w:val="bullet"/>
      <w:lvlText w:val="•"/>
      <w:lvlJc w:val="left"/>
      <w:pPr>
        <w:ind w:left="587" w:hanging="181"/>
      </w:pPr>
      <w:rPr>
        <w:rFonts w:hint="default"/>
      </w:rPr>
    </w:lvl>
    <w:lvl w:ilvl="2" w:tplc="6D7A65F4">
      <w:start w:val="1"/>
      <w:numFmt w:val="bullet"/>
      <w:lvlText w:val="•"/>
      <w:lvlJc w:val="left"/>
      <w:pPr>
        <w:ind w:left="910" w:hanging="181"/>
      </w:pPr>
      <w:rPr>
        <w:rFonts w:hint="default"/>
      </w:rPr>
    </w:lvl>
    <w:lvl w:ilvl="3" w:tplc="A03836E6">
      <w:start w:val="1"/>
      <w:numFmt w:val="bullet"/>
      <w:lvlText w:val="•"/>
      <w:lvlJc w:val="left"/>
      <w:pPr>
        <w:ind w:left="1232" w:hanging="181"/>
      </w:pPr>
      <w:rPr>
        <w:rFonts w:hint="default"/>
      </w:rPr>
    </w:lvl>
    <w:lvl w:ilvl="4" w:tplc="A64ADBB2">
      <w:start w:val="1"/>
      <w:numFmt w:val="bullet"/>
      <w:lvlText w:val="•"/>
      <w:lvlJc w:val="left"/>
      <w:pPr>
        <w:ind w:left="1555" w:hanging="181"/>
      </w:pPr>
      <w:rPr>
        <w:rFonts w:hint="default"/>
      </w:rPr>
    </w:lvl>
    <w:lvl w:ilvl="5" w:tplc="DC0C35A2">
      <w:start w:val="1"/>
      <w:numFmt w:val="bullet"/>
      <w:lvlText w:val="•"/>
      <w:lvlJc w:val="left"/>
      <w:pPr>
        <w:ind w:left="1877" w:hanging="181"/>
      </w:pPr>
      <w:rPr>
        <w:rFonts w:hint="default"/>
      </w:rPr>
    </w:lvl>
    <w:lvl w:ilvl="6" w:tplc="FCFE28E2">
      <w:start w:val="1"/>
      <w:numFmt w:val="bullet"/>
      <w:lvlText w:val="•"/>
      <w:lvlJc w:val="left"/>
      <w:pPr>
        <w:ind w:left="2200" w:hanging="181"/>
      </w:pPr>
      <w:rPr>
        <w:rFonts w:hint="default"/>
      </w:rPr>
    </w:lvl>
    <w:lvl w:ilvl="7" w:tplc="DE389180">
      <w:start w:val="1"/>
      <w:numFmt w:val="bullet"/>
      <w:lvlText w:val="•"/>
      <w:lvlJc w:val="left"/>
      <w:pPr>
        <w:ind w:left="2522" w:hanging="181"/>
      </w:pPr>
      <w:rPr>
        <w:rFonts w:hint="default"/>
      </w:rPr>
    </w:lvl>
    <w:lvl w:ilvl="8" w:tplc="6836693C">
      <w:start w:val="1"/>
      <w:numFmt w:val="bullet"/>
      <w:lvlText w:val="•"/>
      <w:lvlJc w:val="left"/>
      <w:pPr>
        <w:ind w:left="2845" w:hanging="181"/>
      </w:pPr>
      <w:rPr>
        <w:rFonts w:hint="default"/>
      </w:rPr>
    </w:lvl>
  </w:abstractNum>
  <w:abstractNum w:abstractNumId="3" w15:restartNumberingAfterBreak="0">
    <w:nsid w:val="24B14B8B"/>
    <w:multiLevelType w:val="multilevel"/>
    <w:tmpl w:val="9D72CA54"/>
    <w:lvl w:ilvl="0">
      <w:start w:val="2"/>
      <w:numFmt w:val="decimal"/>
      <w:lvlText w:val="%1"/>
      <w:lvlJc w:val="left"/>
      <w:pPr>
        <w:ind w:left="557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7" w:hanging="444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471" w:hanging="272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04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8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2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5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9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2" w:hanging="272"/>
      </w:pPr>
      <w:rPr>
        <w:rFonts w:hint="default"/>
      </w:rPr>
    </w:lvl>
  </w:abstractNum>
  <w:abstractNum w:abstractNumId="4" w15:restartNumberingAfterBreak="0">
    <w:nsid w:val="2CEB5FE4"/>
    <w:multiLevelType w:val="hybridMultilevel"/>
    <w:tmpl w:val="EEBE7174"/>
    <w:lvl w:ilvl="0" w:tplc="0CC64C32">
      <w:start w:val="3"/>
      <w:numFmt w:val="lowerLetter"/>
      <w:lvlText w:val="(%1)"/>
      <w:lvlJc w:val="left"/>
      <w:pPr>
        <w:ind w:left="471" w:hanging="269"/>
      </w:pPr>
      <w:rPr>
        <w:rFonts w:ascii="Arial" w:eastAsia="Arial" w:hAnsi="Arial" w:hint="default"/>
        <w:spacing w:val="-1"/>
        <w:position w:val="8"/>
        <w:sz w:val="16"/>
        <w:szCs w:val="16"/>
      </w:rPr>
    </w:lvl>
    <w:lvl w:ilvl="1" w:tplc="6F466B16">
      <w:start w:val="1"/>
      <w:numFmt w:val="bullet"/>
      <w:lvlText w:val="•"/>
      <w:lvlJc w:val="left"/>
      <w:pPr>
        <w:ind w:left="1446" w:hanging="269"/>
      </w:pPr>
      <w:rPr>
        <w:rFonts w:hint="default"/>
      </w:rPr>
    </w:lvl>
    <w:lvl w:ilvl="2" w:tplc="9112C56A">
      <w:start w:val="1"/>
      <w:numFmt w:val="bullet"/>
      <w:lvlText w:val="•"/>
      <w:lvlJc w:val="left"/>
      <w:pPr>
        <w:ind w:left="2420" w:hanging="269"/>
      </w:pPr>
      <w:rPr>
        <w:rFonts w:hint="default"/>
      </w:rPr>
    </w:lvl>
    <w:lvl w:ilvl="3" w:tplc="2C18E4FC">
      <w:start w:val="1"/>
      <w:numFmt w:val="bullet"/>
      <w:lvlText w:val="•"/>
      <w:lvlJc w:val="left"/>
      <w:pPr>
        <w:ind w:left="3395" w:hanging="269"/>
      </w:pPr>
      <w:rPr>
        <w:rFonts w:hint="default"/>
      </w:rPr>
    </w:lvl>
    <w:lvl w:ilvl="4" w:tplc="50183A80">
      <w:start w:val="1"/>
      <w:numFmt w:val="bullet"/>
      <w:lvlText w:val="•"/>
      <w:lvlJc w:val="left"/>
      <w:pPr>
        <w:ind w:left="4370" w:hanging="269"/>
      </w:pPr>
      <w:rPr>
        <w:rFonts w:hint="default"/>
      </w:rPr>
    </w:lvl>
    <w:lvl w:ilvl="5" w:tplc="A5289982">
      <w:start w:val="1"/>
      <w:numFmt w:val="bullet"/>
      <w:lvlText w:val="•"/>
      <w:lvlJc w:val="left"/>
      <w:pPr>
        <w:ind w:left="5345" w:hanging="269"/>
      </w:pPr>
      <w:rPr>
        <w:rFonts w:hint="default"/>
      </w:rPr>
    </w:lvl>
    <w:lvl w:ilvl="6" w:tplc="8D4AEA04">
      <w:start w:val="1"/>
      <w:numFmt w:val="bullet"/>
      <w:lvlText w:val="•"/>
      <w:lvlJc w:val="left"/>
      <w:pPr>
        <w:ind w:left="6320" w:hanging="269"/>
      </w:pPr>
      <w:rPr>
        <w:rFonts w:hint="default"/>
      </w:rPr>
    </w:lvl>
    <w:lvl w:ilvl="7" w:tplc="1FF8B2E8">
      <w:start w:val="1"/>
      <w:numFmt w:val="bullet"/>
      <w:lvlText w:val="•"/>
      <w:lvlJc w:val="left"/>
      <w:pPr>
        <w:ind w:left="7295" w:hanging="269"/>
      </w:pPr>
      <w:rPr>
        <w:rFonts w:hint="default"/>
      </w:rPr>
    </w:lvl>
    <w:lvl w:ilvl="8" w:tplc="F676A5EA">
      <w:start w:val="1"/>
      <w:numFmt w:val="bullet"/>
      <w:lvlText w:val="•"/>
      <w:lvlJc w:val="left"/>
      <w:pPr>
        <w:ind w:left="8270" w:hanging="269"/>
      </w:pPr>
      <w:rPr>
        <w:rFonts w:hint="default"/>
      </w:rPr>
    </w:lvl>
  </w:abstractNum>
  <w:abstractNum w:abstractNumId="5" w15:restartNumberingAfterBreak="0">
    <w:nsid w:val="44A521EA"/>
    <w:multiLevelType w:val="hybridMultilevel"/>
    <w:tmpl w:val="A3E2AECC"/>
    <w:lvl w:ilvl="0" w:tplc="795E8C5C">
      <w:start w:val="1"/>
      <w:numFmt w:val="bullet"/>
      <w:lvlText w:val=""/>
      <w:lvlJc w:val="left"/>
      <w:pPr>
        <w:ind w:left="267" w:hanging="181"/>
      </w:pPr>
      <w:rPr>
        <w:rFonts w:ascii="Symbol" w:eastAsia="Symbol" w:hAnsi="Symbol" w:hint="default"/>
        <w:w w:val="99"/>
        <w:sz w:val="20"/>
        <w:szCs w:val="20"/>
      </w:rPr>
    </w:lvl>
    <w:lvl w:ilvl="1" w:tplc="0840EFDC">
      <w:start w:val="1"/>
      <w:numFmt w:val="bullet"/>
      <w:lvlText w:val="•"/>
      <w:lvlJc w:val="left"/>
      <w:pPr>
        <w:ind w:left="589" w:hanging="181"/>
      </w:pPr>
      <w:rPr>
        <w:rFonts w:hint="default"/>
      </w:rPr>
    </w:lvl>
    <w:lvl w:ilvl="2" w:tplc="4BB49AE6">
      <w:start w:val="1"/>
      <w:numFmt w:val="bullet"/>
      <w:lvlText w:val="•"/>
      <w:lvlJc w:val="left"/>
      <w:pPr>
        <w:ind w:left="912" w:hanging="181"/>
      </w:pPr>
      <w:rPr>
        <w:rFonts w:hint="default"/>
      </w:rPr>
    </w:lvl>
    <w:lvl w:ilvl="3" w:tplc="187A637E">
      <w:start w:val="1"/>
      <w:numFmt w:val="bullet"/>
      <w:lvlText w:val="•"/>
      <w:lvlJc w:val="left"/>
      <w:pPr>
        <w:ind w:left="1234" w:hanging="181"/>
      </w:pPr>
      <w:rPr>
        <w:rFonts w:hint="default"/>
      </w:rPr>
    </w:lvl>
    <w:lvl w:ilvl="4" w:tplc="583EADF8">
      <w:start w:val="1"/>
      <w:numFmt w:val="bullet"/>
      <w:lvlText w:val="•"/>
      <w:lvlJc w:val="left"/>
      <w:pPr>
        <w:ind w:left="1556" w:hanging="181"/>
      </w:pPr>
      <w:rPr>
        <w:rFonts w:hint="default"/>
      </w:rPr>
    </w:lvl>
    <w:lvl w:ilvl="5" w:tplc="9676BCA0">
      <w:start w:val="1"/>
      <w:numFmt w:val="bullet"/>
      <w:lvlText w:val="•"/>
      <w:lvlJc w:val="left"/>
      <w:pPr>
        <w:ind w:left="1878" w:hanging="181"/>
      </w:pPr>
      <w:rPr>
        <w:rFonts w:hint="default"/>
      </w:rPr>
    </w:lvl>
    <w:lvl w:ilvl="6" w:tplc="CBEC9008">
      <w:start w:val="1"/>
      <w:numFmt w:val="bullet"/>
      <w:lvlText w:val="•"/>
      <w:lvlJc w:val="left"/>
      <w:pPr>
        <w:ind w:left="2201" w:hanging="181"/>
      </w:pPr>
      <w:rPr>
        <w:rFonts w:hint="default"/>
      </w:rPr>
    </w:lvl>
    <w:lvl w:ilvl="7" w:tplc="2AC650B4">
      <w:start w:val="1"/>
      <w:numFmt w:val="bullet"/>
      <w:lvlText w:val="•"/>
      <w:lvlJc w:val="left"/>
      <w:pPr>
        <w:ind w:left="2523" w:hanging="181"/>
      </w:pPr>
      <w:rPr>
        <w:rFonts w:hint="default"/>
      </w:rPr>
    </w:lvl>
    <w:lvl w:ilvl="8" w:tplc="68DACB24">
      <w:start w:val="1"/>
      <w:numFmt w:val="bullet"/>
      <w:lvlText w:val="•"/>
      <w:lvlJc w:val="left"/>
      <w:pPr>
        <w:ind w:left="2845" w:hanging="181"/>
      </w:pPr>
      <w:rPr>
        <w:rFonts w:hint="default"/>
      </w:rPr>
    </w:lvl>
  </w:abstractNum>
  <w:abstractNum w:abstractNumId="6" w15:restartNumberingAfterBreak="0">
    <w:nsid w:val="475E2D09"/>
    <w:multiLevelType w:val="multilevel"/>
    <w:tmpl w:val="DE40E276"/>
    <w:lvl w:ilvl="0">
      <w:start w:val="4"/>
      <w:numFmt w:val="decimal"/>
      <w:lvlText w:val="%1"/>
      <w:lvlJc w:val="left"/>
      <w:pPr>
        <w:ind w:left="514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4" w:hanging="404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471" w:hanging="272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671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9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8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6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3" w:hanging="272"/>
      </w:pPr>
      <w:rPr>
        <w:rFonts w:hint="default"/>
      </w:rPr>
    </w:lvl>
  </w:abstractNum>
  <w:abstractNum w:abstractNumId="7" w15:restartNumberingAfterBreak="0">
    <w:nsid w:val="4A486F95"/>
    <w:multiLevelType w:val="hybridMultilevel"/>
    <w:tmpl w:val="DA1AA768"/>
    <w:lvl w:ilvl="0" w:tplc="DA14B2D0">
      <w:start w:val="1"/>
      <w:numFmt w:val="bullet"/>
      <w:lvlText w:val=""/>
      <w:lvlJc w:val="left"/>
      <w:pPr>
        <w:ind w:left="267" w:hanging="180"/>
      </w:pPr>
      <w:rPr>
        <w:rFonts w:ascii="Symbol" w:eastAsia="Symbol" w:hAnsi="Symbol" w:hint="default"/>
        <w:sz w:val="22"/>
        <w:szCs w:val="22"/>
      </w:rPr>
    </w:lvl>
    <w:lvl w:ilvl="1" w:tplc="7B2260BA">
      <w:start w:val="1"/>
      <w:numFmt w:val="bullet"/>
      <w:lvlText w:val="•"/>
      <w:lvlJc w:val="left"/>
      <w:pPr>
        <w:ind w:left="590" w:hanging="180"/>
      </w:pPr>
      <w:rPr>
        <w:rFonts w:hint="default"/>
      </w:rPr>
    </w:lvl>
    <w:lvl w:ilvl="2" w:tplc="39107738">
      <w:start w:val="1"/>
      <w:numFmt w:val="bullet"/>
      <w:lvlText w:val="•"/>
      <w:lvlJc w:val="left"/>
      <w:pPr>
        <w:ind w:left="912" w:hanging="180"/>
      </w:pPr>
      <w:rPr>
        <w:rFonts w:hint="default"/>
      </w:rPr>
    </w:lvl>
    <w:lvl w:ilvl="3" w:tplc="2730C01A">
      <w:start w:val="1"/>
      <w:numFmt w:val="bullet"/>
      <w:lvlText w:val="•"/>
      <w:lvlJc w:val="left"/>
      <w:pPr>
        <w:ind w:left="1234" w:hanging="180"/>
      </w:pPr>
      <w:rPr>
        <w:rFonts w:hint="default"/>
      </w:rPr>
    </w:lvl>
    <w:lvl w:ilvl="4" w:tplc="282CA384">
      <w:start w:val="1"/>
      <w:numFmt w:val="bullet"/>
      <w:lvlText w:val="•"/>
      <w:lvlJc w:val="left"/>
      <w:pPr>
        <w:ind w:left="1556" w:hanging="180"/>
      </w:pPr>
      <w:rPr>
        <w:rFonts w:hint="default"/>
      </w:rPr>
    </w:lvl>
    <w:lvl w:ilvl="5" w:tplc="ACA4B588">
      <w:start w:val="1"/>
      <w:numFmt w:val="bullet"/>
      <w:lvlText w:val="•"/>
      <w:lvlJc w:val="left"/>
      <w:pPr>
        <w:ind w:left="1878" w:hanging="180"/>
      </w:pPr>
      <w:rPr>
        <w:rFonts w:hint="default"/>
      </w:rPr>
    </w:lvl>
    <w:lvl w:ilvl="6" w:tplc="BB309EE2">
      <w:start w:val="1"/>
      <w:numFmt w:val="bullet"/>
      <w:lvlText w:val="•"/>
      <w:lvlJc w:val="left"/>
      <w:pPr>
        <w:ind w:left="2201" w:hanging="180"/>
      </w:pPr>
      <w:rPr>
        <w:rFonts w:hint="default"/>
      </w:rPr>
    </w:lvl>
    <w:lvl w:ilvl="7" w:tplc="AF06025C">
      <w:start w:val="1"/>
      <w:numFmt w:val="bullet"/>
      <w:lvlText w:val="•"/>
      <w:lvlJc w:val="left"/>
      <w:pPr>
        <w:ind w:left="2523" w:hanging="180"/>
      </w:pPr>
      <w:rPr>
        <w:rFonts w:hint="default"/>
      </w:rPr>
    </w:lvl>
    <w:lvl w:ilvl="8" w:tplc="F618845A">
      <w:start w:val="1"/>
      <w:numFmt w:val="bullet"/>
      <w:lvlText w:val="•"/>
      <w:lvlJc w:val="left"/>
      <w:pPr>
        <w:ind w:left="2845" w:hanging="180"/>
      </w:pPr>
      <w:rPr>
        <w:rFonts w:hint="default"/>
      </w:rPr>
    </w:lvl>
  </w:abstractNum>
  <w:abstractNum w:abstractNumId="8" w15:restartNumberingAfterBreak="0">
    <w:nsid w:val="4BCD3C46"/>
    <w:multiLevelType w:val="hybridMultilevel"/>
    <w:tmpl w:val="2B8CF306"/>
    <w:lvl w:ilvl="0" w:tplc="DF1AA96E">
      <w:start w:val="1"/>
      <w:numFmt w:val="bullet"/>
      <w:lvlText w:val=""/>
      <w:lvlJc w:val="left"/>
      <w:pPr>
        <w:ind w:left="265" w:hanging="181"/>
      </w:pPr>
      <w:rPr>
        <w:rFonts w:ascii="Symbol" w:eastAsia="Symbol" w:hAnsi="Symbol" w:hint="default"/>
        <w:w w:val="99"/>
        <w:sz w:val="20"/>
        <w:szCs w:val="20"/>
      </w:rPr>
    </w:lvl>
    <w:lvl w:ilvl="1" w:tplc="68ACFEC6">
      <w:start w:val="1"/>
      <w:numFmt w:val="bullet"/>
      <w:lvlText w:val="•"/>
      <w:lvlJc w:val="left"/>
      <w:pPr>
        <w:ind w:left="587" w:hanging="181"/>
      </w:pPr>
      <w:rPr>
        <w:rFonts w:hint="default"/>
      </w:rPr>
    </w:lvl>
    <w:lvl w:ilvl="2" w:tplc="791A4652">
      <w:start w:val="1"/>
      <w:numFmt w:val="bullet"/>
      <w:lvlText w:val="•"/>
      <w:lvlJc w:val="left"/>
      <w:pPr>
        <w:ind w:left="910" w:hanging="181"/>
      </w:pPr>
      <w:rPr>
        <w:rFonts w:hint="default"/>
      </w:rPr>
    </w:lvl>
    <w:lvl w:ilvl="3" w:tplc="3A9CD7A8">
      <w:start w:val="1"/>
      <w:numFmt w:val="bullet"/>
      <w:lvlText w:val="•"/>
      <w:lvlJc w:val="left"/>
      <w:pPr>
        <w:ind w:left="1232" w:hanging="181"/>
      </w:pPr>
      <w:rPr>
        <w:rFonts w:hint="default"/>
      </w:rPr>
    </w:lvl>
    <w:lvl w:ilvl="4" w:tplc="FD682BEE">
      <w:start w:val="1"/>
      <w:numFmt w:val="bullet"/>
      <w:lvlText w:val="•"/>
      <w:lvlJc w:val="left"/>
      <w:pPr>
        <w:ind w:left="1555" w:hanging="181"/>
      </w:pPr>
      <w:rPr>
        <w:rFonts w:hint="default"/>
      </w:rPr>
    </w:lvl>
    <w:lvl w:ilvl="5" w:tplc="C25A97BC">
      <w:start w:val="1"/>
      <w:numFmt w:val="bullet"/>
      <w:lvlText w:val="•"/>
      <w:lvlJc w:val="left"/>
      <w:pPr>
        <w:ind w:left="1877" w:hanging="181"/>
      </w:pPr>
      <w:rPr>
        <w:rFonts w:hint="default"/>
      </w:rPr>
    </w:lvl>
    <w:lvl w:ilvl="6" w:tplc="9766BD10">
      <w:start w:val="1"/>
      <w:numFmt w:val="bullet"/>
      <w:lvlText w:val="•"/>
      <w:lvlJc w:val="left"/>
      <w:pPr>
        <w:ind w:left="2200" w:hanging="181"/>
      </w:pPr>
      <w:rPr>
        <w:rFonts w:hint="default"/>
      </w:rPr>
    </w:lvl>
    <w:lvl w:ilvl="7" w:tplc="9ECEE3A6">
      <w:start w:val="1"/>
      <w:numFmt w:val="bullet"/>
      <w:lvlText w:val="•"/>
      <w:lvlJc w:val="left"/>
      <w:pPr>
        <w:ind w:left="2522" w:hanging="181"/>
      </w:pPr>
      <w:rPr>
        <w:rFonts w:hint="default"/>
      </w:rPr>
    </w:lvl>
    <w:lvl w:ilvl="8" w:tplc="D6AE59BA">
      <w:start w:val="1"/>
      <w:numFmt w:val="bullet"/>
      <w:lvlText w:val="•"/>
      <w:lvlJc w:val="left"/>
      <w:pPr>
        <w:ind w:left="2845" w:hanging="181"/>
      </w:pPr>
      <w:rPr>
        <w:rFonts w:hint="default"/>
      </w:rPr>
    </w:lvl>
  </w:abstractNum>
  <w:abstractNum w:abstractNumId="9" w15:restartNumberingAfterBreak="0">
    <w:nsid w:val="4D0D3BBF"/>
    <w:multiLevelType w:val="multilevel"/>
    <w:tmpl w:val="B8563CC0"/>
    <w:lvl w:ilvl="0">
      <w:start w:val="5"/>
      <w:numFmt w:val="decimal"/>
      <w:lvlText w:val="%1"/>
      <w:lvlJc w:val="left"/>
      <w:pPr>
        <w:ind w:left="514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4" w:hanging="404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471" w:hanging="272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-"/>
      <w:lvlJc w:val="left"/>
      <w:pPr>
        <w:ind w:left="742" w:hanging="180"/>
      </w:pPr>
      <w:rPr>
        <w:rFonts w:ascii="Verdana" w:eastAsia="Verdana" w:hAnsi="Verdana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11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1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6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0" w:hanging="180"/>
      </w:pPr>
      <w:rPr>
        <w:rFonts w:hint="default"/>
      </w:rPr>
    </w:lvl>
  </w:abstractNum>
  <w:abstractNum w:abstractNumId="10" w15:restartNumberingAfterBreak="0">
    <w:nsid w:val="51D17A5B"/>
    <w:multiLevelType w:val="hybridMultilevel"/>
    <w:tmpl w:val="7DC6A9A0"/>
    <w:lvl w:ilvl="0" w:tplc="D3DE6324">
      <w:start w:val="1"/>
      <w:numFmt w:val="bullet"/>
      <w:lvlText w:val=""/>
      <w:lvlJc w:val="left"/>
      <w:pPr>
        <w:ind w:left="265" w:hanging="181"/>
      </w:pPr>
      <w:rPr>
        <w:rFonts w:ascii="Symbol" w:eastAsia="Symbol" w:hAnsi="Symbol" w:hint="default"/>
        <w:w w:val="99"/>
        <w:sz w:val="20"/>
        <w:szCs w:val="20"/>
      </w:rPr>
    </w:lvl>
    <w:lvl w:ilvl="1" w:tplc="CAAA85CC">
      <w:start w:val="1"/>
      <w:numFmt w:val="bullet"/>
      <w:lvlText w:val="•"/>
      <w:lvlJc w:val="left"/>
      <w:pPr>
        <w:ind w:left="587" w:hanging="181"/>
      </w:pPr>
      <w:rPr>
        <w:rFonts w:hint="default"/>
      </w:rPr>
    </w:lvl>
    <w:lvl w:ilvl="2" w:tplc="8730B526">
      <w:start w:val="1"/>
      <w:numFmt w:val="bullet"/>
      <w:lvlText w:val="•"/>
      <w:lvlJc w:val="left"/>
      <w:pPr>
        <w:ind w:left="910" w:hanging="181"/>
      </w:pPr>
      <w:rPr>
        <w:rFonts w:hint="default"/>
      </w:rPr>
    </w:lvl>
    <w:lvl w:ilvl="3" w:tplc="14903CD2">
      <w:start w:val="1"/>
      <w:numFmt w:val="bullet"/>
      <w:lvlText w:val="•"/>
      <w:lvlJc w:val="left"/>
      <w:pPr>
        <w:ind w:left="1232" w:hanging="181"/>
      </w:pPr>
      <w:rPr>
        <w:rFonts w:hint="default"/>
      </w:rPr>
    </w:lvl>
    <w:lvl w:ilvl="4" w:tplc="D8A0FB22">
      <w:start w:val="1"/>
      <w:numFmt w:val="bullet"/>
      <w:lvlText w:val="•"/>
      <w:lvlJc w:val="left"/>
      <w:pPr>
        <w:ind w:left="1555" w:hanging="181"/>
      </w:pPr>
      <w:rPr>
        <w:rFonts w:hint="default"/>
      </w:rPr>
    </w:lvl>
    <w:lvl w:ilvl="5" w:tplc="EA2C4F0E">
      <w:start w:val="1"/>
      <w:numFmt w:val="bullet"/>
      <w:lvlText w:val="•"/>
      <w:lvlJc w:val="left"/>
      <w:pPr>
        <w:ind w:left="1877" w:hanging="181"/>
      </w:pPr>
      <w:rPr>
        <w:rFonts w:hint="default"/>
      </w:rPr>
    </w:lvl>
    <w:lvl w:ilvl="6" w:tplc="53345AFC">
      <w:start w:val="1"/>
      <w:numFmt w:val="bullet"/>
      <w:lvlText w:val="•"/>
      <w:lvlJc w:val="left"/>
      <w:pPr>
        <w:ind w:left="2200" w:hanging="181"/>
      </w:pPr>
      <w:rPr>
        <w:rFonts w:hint="default"/>
      </w:rPr>
    </w:lvl>
    <w:lvl w:ilvl="7" w:tplc="036E114E">
      <w:start w:val="1"/>
      <w:numFmt w:val="bullet"/>
      <w:lvlText w:val="•"/>
      <w:lvlJc w:val="left"/>
      <w:pPr>
        <w:ind w:left="2522" w:hanging="181"/>
      </w:pPr>
      <w:rPr>
        <w:rFonts w:hint="default"/>
      </w:rPr>
    </w:lvl>
    <w:lvl w:ilvl="8" w:tplc="4978EFBE">
      <w:start w:val="1"/>
      <w:numFmt w:val="bullet"/>
      <w:lvlText w:val="•"/>
      <w:lvlJc w:val="left"/>
      <w:pPr>
        <w:ind w:left="2845" w:hanging="181"/>
      </w:pPr>
      <w:rPr>
        <w:rFonts w:hint="default"/>
      </w:rPr>
    </w:lvl>
  </w:abstractNum>
  <w:abstractNum w:abstractNumId="11" w15:restartNumberingAfterBreak="0">
    <w:nsid w:val="55A44A30"/>
    <w:multiLevelType w:val="hybridMultilevel"/>
    <w:tmpl w:val="9A06755E"/>
    <w:lvl w:ilvl="0" w:tplc="F2F2D798">
      <w:start w:val="1"/>
      <w:numFmt w:val="bullet"/>
      <w:lvlText w:val=""/>
      <w:lvlJc w:val="left"/>
      <w:pPr>
        <w:ind w:left="265" w:hanging="180"/>
      </w:pPr>
      <w:rPr>
        <w:rFonts w:ascii="Symbol" w:eastAsia="Symbol" w:hAnsi="Symbol" w:hint="default"/>
        <w:sz w:val="22"/>
        <w:szCs w:val="22"/>
      </w:rPr>
    </w:lvl>
    <w:lvl w:ilvl="1" w:tplc="6200FCAA">
      <w:start w:val="1"/>
      <w:numFmt w:val="bullet"/>
      <w:lvlText w:val="•"/>
      <w:lvlJc w:val="left"/>
      <w:pPr>
        <w:ind w:left="587" w:hanging="180"/>
      </w:pPr>
      <w:rPr>
        <w:rFonts w:hint="default"/>
      </w:rPr>
    </w:lvl>
    <w:lvl w:ilvl="2" w:tplc="9BA81C0A">
      <w:start w:val="1"/>
      <w:numFmt w:val="bullet"/>
      <w:lvlText w:val="•"/>
      <w:lvlJc w:val="left"/>
      <w:pPr>
        <w:ind w:left="910" w:hanging="180"/>
      </w:pPr>
      <w:rPr>
        <w:rFonts w:hint="default"/>
      </w:rPr>
    </w:lvl>
    <w:lvl w:ilvl="3" w:tplc="178CA3B8">
      <w:start w:val="1"/>
      <w:numFmt w:val="bullet"/>
      <w:lvlText w:val="•"/>
      <w:lvlJc w:val="left"/>
      <w:pPr>
        <w:ind w:left="1232" w:hanging="180"/>
      </w:pPr>
      <w:rPr>
        <w:rFonts w:hint="default"/>
      </w:rPr>
    </w:lvl>
    <w:lvl w:ilvl="4" w:tplc="76AAFC5A">
      <w:start w:val="1"/>
      <w:numFmt w:val="bullet"/>
      <w:lvlText w:val="•"/>
      <w:lvlJc w:val="left"/>
      <w:pPr>
        <w:ind w:left="1555" w:hanging="180"/>
      </w:pPr>
      <w:rPr>
        <w:rFonts w:hint="default"/>
      </w:rPr>
    </w:lvl>
    <w:lvl w:ilvl="5" w:tplc="C7266FCC">
      <w:start w:val="1"/>
      <w:numFmt w:val="bullet"/>
      <w:lvlText w:val="•"/>
      <w:lvlJc w:val="left"/>
      <w:pPr>
        <w:ind w:left="1877" w:hanging="180"/>
      </w:pPr>
      <w:rPr>
        <w:rFonts w:hint="default"/>
      </w:rPr>
    </w:lvl>
    <w:lvl w:ilvl="6" w:tplc="6D7A58FE">
      <w:start w:val="1"/>
      <w:numFmt w:val="bullet"/>
      <w:lvlText w:val="•"/>
      <w:lvlJc w:val="left"/>
      <w:pPr>
        <w:ind w:left="2200" w:hanging="180"/>
      </w:pPr>
      <w:rPr>
        <w:rFonts w:hint="default"/>
      </w:rPr>
    </w:lvl>
    <w:lvl w:ilvl="7" w:tplc="67325258">
      <w:start w:val="1"/>
      <w:numFmt w:val="bullet"/>
      <w:lvlText w:val="•"/>
      <w:lvlJc w:val="left"/>
      <w:pPr>
        <w:ind w:left="2522" w:hanging="180"/>
      </w:pPr>
      <w:rPr>
        <w:rFonts w:hint="default"/>
      </w:rPr>
    </w:lvl>
    <w:lvl w:ilvl="8" w:tplc="7DCC9578">
      <w:start w:val="1"/>
      <w:numFmt w:val="bullet"/>
      <w:lvlText w:val="•"/>
      <w:lvlJc w:val="left"/>
      <w:pPr>
        <w:ind w:left="2845" w:hanging="180"/>
      </w:pPr>
      <w:rPr>
        <w:rFonts w:hint="default"/>
      </w:rPr>
    </w:lvl>
  </w:abstractNum>
  <w:abstractNum w:abstractNumId="12" w15:restartNumberingAfterBreak="0">
    <w:nsid w:val="55C65EA5"/>
    <w:multiLevelType w:val="multilevel"/>
    <w:tmpl w:val="54AA82D6"/>
    <w:lvl w:ilvl="0">
      <w:start w:val="3"/>
      <w:numFmt w:val="decimal"/>
      <w:lvlText w:val="%1"/>
      <w:lvlJc w:val="left"/>
      <w:pPr>
        <w:ind w:left="514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4" w:hanging="404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471" w:hanging="272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808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9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11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3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4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6" w:hanging="272"/>
      </w:pPr>
      <w:rPr>
        <w:rFonts w:hint="default"/>
      </w:rPr>
    </w:lvl>
  </w:abstractNum>
  <w:abstractNum w:abstractNumId="13" w15:restartNumberingAfterBreak="0">
    <w:nsid w:val="592F2E68"/>
    <w:multiLevelType w:val="hybridMultilevel"/>
    <w:tmpl w:val="ED1A8DD8"/>
    <w:lvl w:ilvl="0" w:tplc="3CB8D6FE">
      <w:start w:val="1"/>
      <w:numFmt w:val="bullet"/>
      <w:lvlText w:val=""/>
      <w:lvlJc w:val="left"/>
      <w:pPr>
        <w:ind w:left="265" w:hanging="180"/>
      </w:pPr>
      <w:rPr>
        <w:rFonts w:ascii="Symbol" w:eastAsia="Symbol" w:hAnsi="Symbol" w:hint="default"/>
        <w:sz w:val="22"/>
        <w:szCs w:val="22"/>
      </w:rPr>
    </w:lvl>
    <w:lvl w:ilvl="1" w:tplc="6F220306">
      <w:start w:val="1"/>
      <w:numFmt w:val="bullet"/>
      <w:lvlText w:val="•"/>
      <w:lvlJc w:val="left"/>
      <w:pPr>
        <w:ind w:left="587" w:hanging="180"/>
      </w:pPr>
      <w:rPr>
        <w:rFonts w:hint="default"/>
      </w:rPr>
    </w:lvl>
    <w:lvl w:ilvl="2" w:tplc="553439C6">
      <w:start w:val="1"/>
      <w:numFmt w:val="bullet"/>
      <w:lvlText w:val="•"/>
      <w:lvlJc w:val="left"/>
      <w:pPr>
        <w:ind w:left="910" w:hanging="180"/>
      </w:pPr>
      <w:rPr>
        <w:rFonts w:hint="default"/>
      </w:rPr>
    </w:lvl>
    <w:lvl w:ilvl="3" w:tplc="A98E2C28">
      <w:start w:val="1"/>
      <w:numFmt w:val="bullet"/>
      <w:lvlText w:val="•"/>
      <w:lvlJc w:val="left"/>
      <w:pPr>
        <w:ind w:left="1232" w:hanging="180"/>
      </w:pPr>
      <w:rPr>
        <w:rFonts w:hint="default"/>
      </w:rPr>
    </w:lvl>
    <w:lvl w:ilvl="4" w:tplc="5BCC32D8">
      <w:start w:val="1"/>
      <w:numFmt w:val="bullet"/>
      <w:lvlText w:val="•"/>
      <w:lvlJc w:val="left"/>
      <w:pPr>
        <w:ind w:left="1555" w:hanging="180"/>
      </w:pPr>
      <w:rPr>
        <w:rFonts w:hint="default"/>
      </w:rPr>
    </w:lvl>
    <w:lvl w:ilvl="5" w:tplc="0F4E741A">
      <w:start w:val="1"/>
      <w:numFmt w:val="bullet"/>
      <w:lvlText w:val="•"/>
      <w:lvlJc w:val="left"/>
      <w:pPr>
        <w:ind w:left="1877" w:hanging="180"/>
      </w:pPr>
      <w:rPr>
        <w:rFonts w:hint="default"/>
      </w:rPr>
    </w:lvl>
    <w:lvl w:ilvl="6" w:tplc="889C306C">
      <w:start w:val="1"/>
      <w:numFmt w:val="bullet"/>
      <w:lvlText w:val="•"/>
      <w:lvlJc w:val="left"/>
      <w:pPr>
        <w:ind w:left="2200" w:hanging="180"/>
      </w:pPr>
      <w:rPr>
        <w:rFonts w:hint="default"/>
      </w:rPr>
    </w:lvl>
    <w:lvl w:ilvl="7" w:tplc="2AB48412">
      <w:start w:val="1"/>
      <w:numFmt w:val="bullet"/>
      <w:lvlText w:val="•"/>
      <w:lvlJc w:val="left"/>
      <w:pPr>
        <w:ind w:left="2522" w:hanging="180"/>
      </w:pPr>
      <w:rPr>
        <w:rFonts w:hint="default"/>
      </w:rPr>
    </w:lvl>
    <w:lvl w:ilvl="8" w:tplc="327E562E">
      <w:start w:val="1"/>
      <w:numFmt w:val="bullet"/>
      <w:lvlText w:val="•"/>
      <w:lvlJc w:val="left"/>
      <w:pPr>
        <w:ind w:left="2845" w:hanging="180"/>
      </w:pPr>
      <w:rPr>
        <w:rFonts w:hint="default"/>
      </w:rPr>
    </w:lvl>
  </w:abstractNum>
  <w:abstractNum w:abstractNumId="14" w15:restartNumberingAfterBreak="0">
    <w:nsid w:val="5A1636F5"/>
    <w:multiLevelType w:val="hybridMultilevel"/>
    <w:tmpl w:val="34143084"/>
    <w:lvl w:ilvl="0" w:tplc="B86C7BEA">
      <w:start w:val="1"/>
      <w:numFmt w:val="bullet"/>
      <w:lvlText w:val="o"/>
      <w:lvlJc w:val="left"/>
      <w:pPr>
        <w:ind w:left="1263" w:hanging="360"/>
      </w:pPr>
      <w:rPr>
        <w:rFonts w:ascii="Courier New" w:eastAsia="Courier New" w:hAnsi="Courier New" w:hint="default"/>
        <w:sz w:val="24"/>
        <w:szCs w:val="24"/>
      </w:rPr>
    </w:lvl>
    <w:lvl w:ilvl="1" w:tplc="490269AC">
      <w:start w:val="1"/>
      <w:numFmt w:val="bullet"/>
      <w:lvlText w:val="-"/>
      <w:lvlJc w:val="left"/>
      <w:pPr>
        <w:ind w:left="1371" w:hanging="135"/>
      </w:pPr>
      <w:rPr>
        <w:rFonts w:ascii="Arial" w:eastAsia="Arial" w:hAnsi="Arial" w:hint="default"/>
        <w:i/>
        <w:w w:val="99"/>
        <w:sz w:val="20"/>
        <w:szCs w:val="20"/>
      </w:rPr>
    </w:lvl>
    <w:lvl w:ilvl="2" w:tplc="81840848">
      <w:start w:val="1"/>
      <w:numFmt w:val="bullet"/>
      <w:lvlText w:val="•"/>
      <w:lvlJc w:val="left"/>
      <w:pPr>
        <w:ind w:left="2354" w:hanging="135"/>
      </w:pPr>
      <w:rPr>
        <w:rFonts w:hint="default"/>
      </w:rPr>
    </w:lvl>
    <w:lvl w:ilvl="3" w:tplc="F96EA8AE">
      <w:start w:val="1"/>
      <w:numFmt w:val="bullet"/>
      <w:lvlText w:val="•"/>
      <w:lvlJc w:val="left"/>
      <w:pPr>
        <w:ind w:left="3337" w:hanging="135"/>
      </w:pPr>
      <w:rPr>
        <w:rFonts w:hint="default"/>
      </w:rPr>
    </w:lvl>
    <w:lvl w:ilvl="4" w:tplc="91503B14">
      <w:start w:val="1"/>
      <w:numFmt w:val="bullet"/>
      <w:lvlText w:val="•"/>
      <w:lvlJc w:val="left"/>
      <w:pPr>
        <w:ind w:left="4320" w:hanging="135"/>
      </w:pPr>
      <w:rPr>
        <w:rFonts w:hint="default"/>
      </w:rPr>
    </w:lvl>
    <w:lvl w:ilvl="5" w:tplc="DB247E6C">
      <w:start w:val="1"/>
      <w:numFmt w:val="bullet"/>
      <w:lvlText w:val="•"/>
      <w:lvlJc w:val="left"/>
      <w:pPr>
        <w:ind w:left="5303" w:hanging="135"/>
      </w:pPr>
      <w:rPr>
        <w:rFonts w:hint="default"/>
      </w:rPr>
    </w:lvl>
    <w:lvl w:ilvl="6" w:tplc="792ADC5A">
      <w:start w:val="1"/>
      <w:numFmt w:val="bullet"/>
      <w:lvlText w:val="•"/>
      <w:lvlJc w:val="left"/>
      <w:pPr>
        <w:ind w:left="6287" w:hanging="135"/>
      </w:pPr>
      <w:rPr>
        <w:rFonts w:hint="default"/>
      </w:rPr>
    </w:lvl>
    <w:lvl w:ilvl="7" w:tplc="E7E869AA">
      <w:start w:val="1"/>
      <w:numFmt w:val="bullet"/>
      <w:lvlText w:val="•"/>
      <w:lvlJc w:val="left"/>
      <w:pPr>
        <w:ind w:left="7270" w:hanging="135"/>
      </w:pPr>
      <w:rPr>
        <w:rFonts w:hint="default"/>
      </w:rPr>
    </w:lvl>
    <w:lvl w:ilvl="8" w:tplc="FCFE3E5C">
      <w:start w:val="1"/>
      <w:numFmt w:val="bullet"/>
      <w:lvlText w:val="•"/>
      <w:lvlJc w:val="left"/>
      <w:pPr>
        <w:ind w:left="8253" w:hanging="135"/>
      </w:pPr>
      <w:rPr>
        <w:rFonts w:hint="default"/>
      </w:rPr>
    </w:lvl>
  </w:abstractNum>
  <w:abstractNum w:abstractNumId="15" w15:restartNumberingAfterBreak="0">
    <w:nsid w:val="5D8F1260"/>
    <w:multiLevelType w:val="hybridMultilevel"/>
    <w:tmpl w:val="301E4A24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E8B0B80"/>
    <w:multiLevelType w:val="hybridMultilevel"/>
    <w:tmpl w:val="C72A0F98"/>
    <w:lvl w:ilvl="0" w:tplc="BA2CCC50">
      <w:start w:val="1"/>
      <w:numFmt w:val="bullet"/>
      <w:lvlText w:val=""/>
      <w:lvlJc w:val="left"/>
      <w:pPr>
        <w:ind w:left="265" w:hanging="181"/>
      </w:pPr>
      <w:rPr>
        <w:rFonts w:ascii="Symbol" w:eastAsia="Symbol" w:hAnsi="Symbol" w:hint="default"/>
        <w:w w:val="99"/>
        <w:sz w:val="20"/>
        <w:szCs w:val="20"/>
      </w:rPr>
    </w:lvl>
    <w:lvl w:ilvl="1" w:tplc="8FF2BEE6">
      <w:start w:val="1"/>
      <w:numFmt w:val="bullet"/>
      <w:lvlText w:val="•"/>
      <w:lvlJc w:val="left"/>
      <w:pPr>
        <w:ind w:left="588" w:hanging="181"/>
      </w:pPr>
      <w:rPr>
        <w:rFonts w:hint="default"/>
      </w:rPr>
    </w:lvl>
    <w:lvl w:ilvl="2" w:tplc="0590C0E0">
      <w:start w:val="1"/>
      <w:numFmt w:val="bullet"/>
      <w:lvlText w:val="•"/>
      <w:lvlJc w:val="left"/>
      <w:pPr>
        <w:ind w:left="910" w:hanging="181"/>
      </w:pPr>
      <w:rPr>
        <w:rFonts w:hint="default"/>
      </w:rPr>
    </w:lvl>
    <w:lvl w:ilvl="3" w:tplc="F59293EE">
      <w:start w:val="1"/>
      <w:numFmt w:val="bullet"/>
      <w:lvlText w:val="•"/>
      <w:lvlJc w:val="left"/>
      <w:pPr>
        <w:ind w:left="1232" w:hanging="181"/>
      </w:pPr>
      <w:rPr>
        <w:rFonts w:hint="default"/>
      </w:rPr>
    </w:lvl>
    <w:lvl w:ilvl="4" w:tplc="8FD41B82">
      <w:start w:val="1"/>
      <w:numFmt w:val="bullet"/>
      <w:lvlText w:val="•"/>
      <w:lvlJc w:val="left"/>
      <w:pPr>
        <w:ind w:left="1555" w:hanging="181"/>
      </w:pPr>
      <w:rPr>
        <w:rFonts w:hint="default"/>
      </w:rPr>
    </w:lvl>
    <w:lvl w:ilvl="5" w:tplc="B10A7E30">
      <w:start w:val="1"/>
      <w:numFmt w:val="bullet"/>
      <w:lvlText w:val="•"/>
      <w:lvlJc w:val="left"/>
      <w:pPr>
        <w:ind w:left="1877" w:hanging="181"/>
      </w:pPr>
      <w:rPr>
        <w:rFonts w:hint="default"/>
      </w:rPr>
    </w:lvl>
    <w:lvl w:ilvl="6" w:tplc="5446592C">
      <w:start w:val="1"/>
      <w:numFmt w:val="bullet"/>
      <w:lvlText w:val="•"/>
      <w:lvlJc w:val="left"/>
      <w:pPr>
        <w:ind w:left="2200" w:hanging="181"/>
      </w:pPr>
      <w:rPr>
        <w:rFonts w:hint="default"/>
      </w:rPr>
    </w:lvl>
    <w:lvl w:ilvl="7" w:tplc="3F921D86">
      <w:start w:val="1"/>
      <w:numFmt w:val="bullet"/>
      <w:lvlText w:val="•"/>
      <w:lvlJc w:val="left"/>
      <w:pPr>
        <w:ind w:left="2522" w:hanging="181"/>
      </w:pPr>
      <w:rPr>
        <w:rFonts w:hint="default"/>
      </w:rPr>
    </w:lvl>
    <w:lvl w:ilvl="8" w:tplc="00E25C58">
      <w:start w:val="1"/>
      <w:numFmt w:val="bullet"/>
      <w:lvlText w:val="•"/>
      <w:lvlJc w:val="left"/>
      <w:pPr>
        <w:ind w:left="2845" w:hanging="181"/>
      </w:pPr>
      <w:rPr>
        <w:rFonts w:hint="default"/>
      </w:rPr>
    </w:lvl>
  </w:abstractNum>
  <w:abstractNum w:abstractNumId="17" w15:restartNumberingAfterBreak="0">
    <w:nsid w:val="7F257CDE"/>
    <w:multiLevelType w:val="multilevel"/>
    <w:tmpl w:val="37703FC6"/>
    <w:lvl w:ilvl="0">
      <w:start w:val="1"/>
      <w:numFmt w:val="decimal"/>
      <w:lvlText w:val="%1"/>
      <w:lvlJc w:val="left"/>
      <w:pPr>
        <w:ind w:left="514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4" w:hanging="404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471" w:hanging="272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671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9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8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6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3" w:hanging="272"/>
      </w:pPr>
      <w:rPr>
        <w:rFonts w:hint="default"/>
      </w:rPr>
    </w:lvl>
  </w:abstractNum>
  <w:abstractNum w:abstractNumId="18" w15:restartNumberingAfterBreak="0">
    <w:nsid w:val="7F430DA1"/>
    <w:multiLevelType w:val="hybridMultilevel"/>
    <w:tmpl w:val="1FD6B05C"/>
    <w:lvl w:ilvl="0" w:tplc="2A6CB566">
      <w:start w:val="4"/>
      <w:numFmt w:val="decimal"/>
      <w:lvlText w:val="(%1)"/>
      <w:lvlJc w:val="left"/>
      <w:pPr>
        <w:ind w:left="1287" w:hanging="545"/>
      </w:pPr>
      <w:rPr>
        <w:rFonts w:ascii="Cambria Math" w:eastAsia="Cambria Math" w:hAnsi="Cambria Math" w:hint="default"/>
        <w:spacing w:val="1"/>
        <w:position w:val="1"/>
        <w:sz w:val="24"/>
        <w:szCs w:val="24"/>
      </w:rPr>
    </w:lvl>
    <w:lvl w:ilvl="1" w:tplc="A168BC9C">
      <w:start w:val="1"/>
      <w:numFmt w:val="bullet"/>
      <w:lvlText w:val="-"/>
      <w:lvlJc w:val="left"/>
      <w:pPr>
        <w:ind w:left="1128" w:hanging="123"/>
      </w:pPr>
      <w:rPr>
        <w:rFonts w:ascii="Arial" w:eastAsia="Arial" w:hAnsi="Arial" w:hint="default"/>
        <w:i/>
        <w:w w:val="99"/>
        <w:sz w:val="20"/>
        <w:szCs w:val="20"/>
      </w:rPr>
    </w:lvl>
    <w:lvl w:ilvl="2" w:tplc="21AADF10">
      <w:start w:val="1"/>
      <w:numFmt w:val="bullet"/>
      <w:lvlText w:val="•"/>
      <w:lvlJc w:val="left"/>
      <w:pPr>
        <w:ind w:left="2279" w:hanging="123"/>
      </w:pPr>
      <w:rPr>
        <w:rFonts w:hint="default"/>
      </w:rPr>
    </w:lvl>
    <w:lvl w:ilvl="3" w:tplc="E96A0F64">
      <w:start w:val="1"/>
      <w:numFmt w:val="bullet"/>
      <w:lvlText w:val="•"/>
      <w:lvlJc w:val="left"/>
      <w:pPr>
        <w:ind w:left="3272" w:hanging="123"/>
      </w:pPr>
      <w:rPr>
        <w:rFonts w:hint="default"/>
      </w:rPr>
    </w:lvl>
    <w:lvl w:ilvl="4" w:tplc="B364B2A4">
      <w:start w:val="1"/>
      <w:numFmt w:val="bullet"/>
      <w:lvlText w:val="•"/>
      <w:lvlJc w:val="left"/>
      <w:pPr>
        <w:ind w:left="4264" w:hanging="123"/>
      </w:pPr>
      <w:rPr>
        <w:rFonts w:hint="default"/>
      </w:rPr>
    </w:lvl>
    <w:lvl w:ilvl="5" w:tplc="C2E2E58E">
      <w:start w:val="1"/>
      <w:numFmt w:val="bullet"/>
      <w:lvlText w:val="•"/>
      <w:lvlJc w:val="left"/>
      <w:pPr>
        <w:ind w:left="5257" w:hanging="123"/>
      </w:pPr>
      <w:rPr>
        <w:rFonts w:hint="default"/>
      </w:rPr>
    </w:lvl>
    <w:lvl w:ilvl="6" w:tplc="357EAD62">
      <w:start w:val="1"/>
      <w:numFmt w:val="bullet"/>
      <w:lvlText w:val="•"/>
      <w:lvlJc w:val="left"/>
      <w:pPr>
        <w:ind w:left="6249" w:hanging="123"/>
      </w:pPr>
      <w:rPr>
        <w:rFonts w:hint="default"/>
      </w:rPr>
    </w:lvl>
    <w:lvl w:ilvl="7" w:tplc="3E44452C">
      <w:start w:val="1"/>
      <w:numFmt w:val="bullet"/>
      <w:lvlText w:val="•"/>
      <w:lvlJc w:val="left"/>
      <w:pPr>
        <w:ind w:left="7242" w:hanging="123"/>
      </w:pPr>
      <w:rPr>
        <w:rFonts w:hint="default"/>
      </w:rPr>
    </w:lvl>
    <w:lvl w:ilvl="8" w:tplc="14AA3AC8">
      <w:start w:val="1"/>
      <w:numFmt w:val="bullet"/>
      <w:lvlText w:val="•"/>
      <w:lvlJc w:val="left"/>
      <w:pPr>
        <w:ind w:left="8234" w:hanging="123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3"/>
  </w:num>
  <w:num w:numId="6">
    <w:abstractNumId w:val="8"/>
  </w:num>
  <w:num w:numId="7">
    <w:abstractNumId w:val="5"/>
  </w:num>
  <w:num w:numId="8">
    <w:abstractNumId w:val="11"/>
  </w:num>
  <w:num w:numId="9">
    <w:abstractNumId w:val="10"/>
  </w:num>
  <w:num w:numId="10">
    <w:abstractNumId w:val="16"/>
  </w:num>
  <w:num w:numId="11">
    <w:abstractNumId w:val="2"/>
  </w:num>
  <w:num w:numId="12">
    <w:abstractNumId w:val="9"/>
  </w:num>
  <w:num w:numId="13">
    <w:abstractNumId w:val="18"/>
  </w:num>
  <w:num w:numId="14">
    <w:abstractNumId w:val="6"/>
  </w:num>
  <w:num w:numId="15">
    <w:abstractNumId w:val="14"/>
  </w:num>
  <w:num w:numId="16">
    <w:abstractNumId w:val="12"/>
  </w:num>
  <w:num w:numId="17">
    <w:abstractNumId w:val="3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010"/>
    <w:rsid w:val="00012364"/>
    <w:rsid w:val="000146C0"/>
    <w:rsid w:val="000338CE"/>
    <w:rsid w:val="0006147F"/>
    <w:rsid w:val="000B3D5A"/>
    <w:rsid w:val="000E343C"/>
    <w:rsid w:val="0011582D"/>
    <w:rsid w:val="00143450"/>
    <w:rsid w:val="00146A02"/>
    <w:rsid w:val="001505A1"/>
    <w:rsid w:val="0015479F"/>
    <w:rsid w:val="0017419E"/>
    <w:rsid w:val="00183485"/>
    <w:rsid w:val="001D417C"/>
    <w:rsid w:val="00214010"/>
    <w:rsid w:val="00282A62"/>
    <w:rsid w:val="0028675A"/>
    <w:rsid w:val="00342270"/>
    <w:rsid w:val="0036643C"/>
    <w:rsid w:val="003A7652"/>
    <w:rsid w:val="003F3BAF"/>
    <w:rsid w:val="00403069"/>
    <w:rsid w:val="004040A9"/>
    <w:rsid w:val="00414082"/>
    <w:rsid w:val="00422CF1"/>
    <w:rsid w:val="00443ACF"/>
    <w:rsid w:val="00447AEE"/>
    <w:rsid w:val="00492001"/>
    <w:rsid w:val="00495FD1"/>
    <w:rsid w:val="00513829"/>
    <w:rsid w:val="00517C72"/>
    <w:rsid w:val="005446F4"/>
    <w:rsid w:val="00560207"/>
    <w:rsid w:val="00563C9D"/>
    <w:rsid w:val="00573238"/>
    <w:rsid w:val="005B79AC"/>
    <w:rsid w:val="00627ADA"/>
    <w:rsid w:val="0068014F"/>
    <w:rsid w:val="00691AF3"/>
    <w:rsid w:val="006A5B6B"/>
    <w:rsid w:val="006B3316"/>
    <w:rsid w:val="00730B6E"/>
    <w:rsid w:val="00741BF6"/>
    <w:rsid w:val="00753DA4"/>
    <w:rsid w:val="007604CF"/>
    <w:rsid w:val="00761C89"/>
    <w:rsid w:val="007A6B42"/>
    <w:rsid w:val="007C45A7"/>
    <w:rsid w:val="007D4305"/>
    <w:rsid w:val="007F7EC8"/>
    <w:rsid w:val="0085231A"/>
    <w:rsid w:val="00852B83"/>
    <w:rsid w:val="00884762"/>
    <w:rsid w:val="008F4BAE"/>
    <w:rsid w:val="008F7C97"/>
    <w:rsid w:val="009013E8"/>
    <w:rsid w:val="00906B0F"/>
    <w:rsid w:val="00906F0C"/>
    <w:rsid w:val="0093028A"/>
    <w:rsid w:val="00933E76"/>
    <w:rsid w:val="00956637"/>
    <w:rsid w:val="009B659D"/>
    <w:rsid w:val="00A16F00"/>
    <w:rsid w:val="00A534CF"/>
    <w:rsid w:val="00A67211"/>
    <w:rsid w:val="00B05968"/>
    <w:rsid w:val="00B10A8F"/>
    <w:rsid w:val="00B34297"/>
    <w:rsid w:val="00B82E5A"/>
    <w:rsid w:val="00BA50A8"/>
    <w:rsid w:val="00C379FA"/>
    <w:rsid w:val="00C73E6F"/>
    <w:rsid w:val="00C83A82"/>
    <w:rsid w:val="00CA12D8"/>
    <w:rsid w:val="00CE0CBB"/>
    <w:rsid w:val="00D41798"/>
    <w:rsid w:val="00D54BB7"/>
    <w:rsid w:val="00D95B25"/>
    <w:rsid w:val="00D972E7"/>
    <w:rsid w:val="00DB2091"/>
    <w:rsid w:val="00DD48F6"/>
    <w:rsid w:val="00ED49EA"/>
    <w:rsid w:val="00EE7CF6"/>
    <w:rsid w:val="00EF7BC5"/>
    <w:rsid w:val="00FA1769"/>
    <w:rsid w:val="00FA34E7"/>
    <w:rsid w:val="00FB3903"/>
    <w:rsid w:val="00FD0F84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C5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14" w:hanging="403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paragraph" w:styleId="Heading2">
    <w:name w:val="heading 2"/>
    <w:basedOn w:val="Normal"/>
    <w:uiPriority w:val="9"/>
    <w:unhideWhenUsed/>
    <w:qFormat/>
    <w:pPr>
      <w:ind w:left="1263"/>
      <w:outlineLvl w:val="1"/>
    </w:pPr>
    <w:rPr>
      <w:rFonts w:ascii="Cambria Math" w:eastAsia="Cambria Math" w:hAnsi="Cambria Math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7211"/>
    <w:pPr>
      <w:jc w:val="both"/>
    </w:pPr>
    <w:rPr>
      <w:rFonts w:ascii="Times New Roman" w:eastAsia="Arial" w:hAnsi="Times New Roman" w:cs="Times New Roman"/>
      <w:noProof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563C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C9D"/>
  </w:style>
  <w:style w:type="paragraph" w:styleId="Footer">
    <w:name w:val="footer"/>
    <w:basedOn w:val="Normal"/>
    <w:link w:val="FooterChar"/>
    <w:unhideWhenUsed/>
    <w:rsid w:val="00563C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63C9D"/>
  </w:style>
  <w:style w:type="paragraph" w:styleId="FootnoteText">
    <w:name w:val="footnote text"/>
    <w:basedOn w:val="Normal"/>
    <w:link w:val="FootnoteTextChar"/>
    <w:uiPriority w:val="99"/>
    <w:semiHidden/>
    <w:unhideWhenUsed/>
    <w:rsid w:val="005446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6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46F4"/>
    <w:rPr>
      <w:vertAlign w:val="superscript"/>
    </w:rPr>
  </w:style>
  <w:style w:type="table" w:styleId="TableGrid">
    <w:name w:val="Table Grid"/>
    <w:basedOn w:val="TableNormal"/>
    <w:uiPriority w:val="39"/>
    <w:rsid w:val="00760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01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7409639620A48BB08F713A1AC624B" ma:contentTypeVersion="8" ma:contentTypeDescription="Create a new document." ma:contentTypeScope="" ma:versionID="c01e3ee80a278af17bd1cb207621c6fc">
  <xsd:schema xmlns:xsd="http://www.w3.org/2001/XMLSchema" xmlns:xs="http://www.w3.org/2001/XMLSchema" xmlns:p="http://schemas.microsoft.com/office/2006/metadata/properties" xmlns:ns2="1d57a815-79e8-498e-8f04-9c2e9221b678" targetNamespace="http://schemas.microsoft.com/office/2006/metadata/properties" ma:root="true" ma:fieldsID="f9bc4856e7bc64d3e0f82af37302a80f" ns2:_="">
    <xsd:import namespace="1d57a815-79e8-498e-8f04-9c2e9221b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CE45-FA51-4288-9B03-E5B2A869A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BF139-5123-42F4-924C-09672D849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7a815-79e8-498e-8f04-9c2e9221b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864AA-4635-4F78-9951-B59987F99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CBD2-F34D-4AFA-893A-00A52B05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13538</Words>
  <Characters>7717</Characters>
  <Application>Microsoft Office Word</Application>
  <DocSecurity>0</DocSecurity>
  <Lines>64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2022-01-10T08:21:00Z</dcterms:created>
  <dcterms:modified xsi:type="dcterms:W3CDTF">2022-02-01T11:19:00Z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0x0101006747409639620A48BB08F713A1AC624B</vt:lpwstr>
  </property>
</Properties>
</file>